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highlight w:val="none"/>
        </w:rPr>
      </w:pPr>
    </w:p>
    <w:p>
      <w:pPr>
        <w:jc w:val="center"/>
        <w:rPr>
          <w:rFonts w:hint="eastAsia" w:ascii="黑体" w:hAnsi="黑体" w:eastAsia="黑体"/>
          <w:b/>
          <w:sz w:val="48"/>
          <w:szCs w:val="48"/>
          <w:highlight w:val="none"/>
        </w:rPr>
      </w:pPr>
    </w:p>
    <w:p>
      <w:pPr>
        <w:pStyle w:val="2"/>
        <w:rPr>
          <w:rFonts w:hint="eastAsia"/>
          <w:highlight w:val="none"/>
        </w:rPr>
      </w:pPr>
    </w:p>
    <w:p>
      <w:pPr>
        <w:jc w:val="center"/>
        <w:rPr>
          <w:rFonts w:ascii="黑体" w:hAnsi="黑体" w:eastAsia="黑体"/>
          <w:b/>
          <w:sz w:val="72"/>
          <w:szCs w:val="72"/>
          <w:highlight w:val="none"/>
        </w:rPr>
      </w:pPr>
      <w:r>
        <w:rPr>
          <w:rFonts w:hint="eastAsia" w:ascii="黑体" w:hAnsi="黑体" w:eastAsia="黑体"/>
          <w:b/>
          <w:sz w:val="72"/>
          <w:szCs w:val="72"/>
          <w:highlight w:val="none"/>
        </w:rPr>
        <w:t>国内公开比选文件</w:t>
      </w:r>
    </w:p>
    <w:p>
      <w:pPr>
        <w:jc w:val="center"/>
        <w:rPr>
          <w:rFonts w:ascii="黑体" w:hAnsi="黑体" w:eastAsia="黑体"/>
          <w:b/>
          <w:sz w:val="30"/>
          <w:szCs w:val="30"/>
          <w:highlight w:val="none"/>
          <w:u w:val="single"/>
        </w:rPr>
      </w:pPr>
    </w:p>
    <w:p>
      <w:pPr>
        <w:rPr>
          <w:rFonts w:hint="eastAsia" w:ascii="黑体" w:hAnsi="黑体" w:eastAsia="黑体"/>
          <w:b/>
          <w:sz w:val="30"/>
          <w:szCs w:val="30"/>
          <w:highlight w:val="none"/>
          <w:u w:val="single"/>
        </w:rPr>
      </w:pPr>
    </w:p>
    <w:p>
      <w:pPr>
        <w:pStyle w:val="2"/>
        <w:rPr>
          <w:rFonts w:hint="eastAsia"/>
          <w:highlight w:val="none"/>
        </w:rPr>
      </w:pPr>
    </w:p>
    <w:p>
      <w:pPr>
        <w:pStyle w:val="2"/>
        <w:rPr>
          <w:highlight w:val="none"/>
        </w:rPr>
      </w:pPr>
    </w:p>
    <w:p>
      <w:pPr>
        <w:spacing w:line="720" w:lineRule="auto"/>
        <w:ind w:firstLine="600" w:firstLineChars="200"/>
        <w:rPr>
          <w:rFonts w:hint="eastAsia" w:eastAsia="黑体"/>
          <w:sz w:val="30"/>
          <w:szCs w:val="30"/>
          <w:highlight w:val="none"/>
          <w:lang w:eastAsia="zh-CN"/>
        </w:rPr>
      </w:pPr>
      <w:r>
        <w:rPr>
          <w:rFonts w:hint="eastAsia" w:eastAsia="黑体"/>
          <w:sz w:val="30"/>
          <w:szCs w:val="30"/>
          <w:highlight w:val="none"/>
        </w:rPr>
        <w:t>项目名称：</w:t>
      </w:r>
      <w:r>
        <w:rPr>
          <w:rFonts w:hint="eastAsia" w:ascii="Times New Roman" w:hAnsi="Times New Roman" w:eastAsia="黑体" w:cs="Times New Roman"/>
          <w:b w:val="0"/>
          <w:bCs w:val="0"/>
          <w:sz w:val="30"/>
          <w:szCs w:val="30"/>
          <w:highlight w:val="none"/>
          <w:lang w:eastAsia="zh-CN"/>
        </w:rPr>
        <w:t>滨湖人文一期项目开荒保洁工程</w:t>
      </w:r>
    </w:p>
    <w:p>
      <w:pPr>
        <w:spacing w:line="720" w:lineRule="auto"/>
        <w:ind w:firstLine="600" w:firstLineChars="200"/>
        <w:rPr>
          <w:rFonts w:hint="eastAsia" w:eastAsia="黑体"/>
          <w:b w:val="0"/>
          <w:bCs w:val="0"/>
          <w:sz w:val="30"/>
          <w:szCs w:val="30"/>
          <w:highlight w:val="none"/>
          <w:lang w:val="en-US" w:eastAsia="zh-CN"/>
        </w:rPr>
      </w:pPr>
      <w:r>
        <w:rPr>
          <w:rFonts w:hint="eastAsia" w:eastAsia="黑体"/>
          <w:sz w:val="30"/>
          <w:szCs w:val="30"/>
          <w:highlight w:val="none"/>
        </w:rPr>
        <w:t>项目编号：</w:t>
      </w:r>
      <w:r>
        <w:rPr>
          <w:rFonts w:hint="eastAsia" w:eastAsia="黑体"/>
          <w:b w:val="0"/>
          <w:bCs w:val="0"/>
          <w:sz w:val="30"/>
          <w:szCs w:val="30"/>
          <w:highlight w:val="none"/>
          <w:lang w:eastAsia="zh-CN"/>
        </w:rPr>
        <w:t>JXHA2024040</w:t>
      </w:r>
      <w:r>
        <w:rPr>
          <w:rFonts w:hint="eastAsia" w:eastAsia="黑体"/>
          <w:b w:val="0"/>
          <w:bCs w:val="0"/>
          <w:sz w:val="30"/>
          <w:szCs w:val="30"/>
          <w:highlight w:val="none"/>
          <w:lang w:val="en-US" w:eastAsia="zh-CN"/>
        </w:rPr>
        <w:t>7</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比选人：</w:t>
      </w:r>
      <w:r>
        <w:rPr>
          <w:rFonts w:hint="eastAsia" w:eastAsia="黑体"/>
          <w:sz w:val="30"/>
          <w:szCs w:val="30"/>
          <w:highlight w:val="none"/>
          <w:lang w:eastAsia="zh-CN"/>
        </w:rPr>
        <w:t>南昌红投置业有限公司</w:t>
      </w:r>
      <w:r>
        <w:rPr>
          <w:rFonts w:hint="eastAsia" w:eastAsia="黑体"/>
          <w:sz w:val="30"/>
          <w:szCs w:val="30"/>
          <w:highlight w:val="none"/>
        </w:rPr>
        <w:t>（公章）</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招标代理机构：</w:t>
      </w:r>
      <w:r>
        <w:rPr>
          <w:rFonts w:hint="eastAsia" w:eastAsia="黑体"/>
          <w:sz w:val="30"/>
          <w:szCs w:val="30"/>
          <w:highlight w:val="none"/>
          <w:lang w:val="en-US" w:eastAsia="zh-CN"/>
        </w:rPr>
        <w:t>江西合安项目管理有限公司</w:t>
      </w:r>
      <w:r>
        <w:rPr>
          <w:rFonts w:hint="eastAsia" w:eastAsia="黑体"/>
          <w:sz w:val="30"/>
          <w:szCs w:val="30"/>
          <w:highlight w:val="none"/>
        </w:rPr>
        <w:t>（公章）</w:t>
      </w:r>
    </w:p>
    <w:p>
      <w:pPr>
        <w:pStyle w:val="5"/>
        <w:rPr>
          <w:rFonts w:hint="eastAsia"/>
          <w:highlight w:val="none"/>
        </w:rPr>
      </w:pPr>
    </w:p>
    <w:p>
      <w:pPr>
        <w:rPr>
          <w:rFonts w:hint="eastAsia"/>
          <w:highlight w:val="none"/>
        </w:rPr>
      </w:pPr>
    </w:p>
    <w:p>
      <w:pPr>
        <w:spacing w:line="480" w:lineRule="auto"/>
        <w:rPr>
          <w:rFonts w:hint="eastAsia" w:eastAsia="黑体"/>
          <w:sz w:val="32"/>
          <w:highlight w:val="none"/>
        </w:rPr>
      </w:pPr>
    </w:p>
    <w:p>
      <w:pPr>
        <w:pStyle w:val="2"/>
        <w:rPr>
          <w:rFonts w:hint="eastAsia"/>
          <w:highlight w:val="none"/>
        </w:rPr>
      </w:pPr>
    </w:p>
    <w:p>
      <w:pPr>
        <w:spacing w:line="360" w:lineRule="auto"/>
        <w:jc w:val="center"/>
        <w:rPr>
          <w:rFonts w:ascii="宋体" w:hAnsi="宋体"/>
          <w:b/>
          <w:sz w:val="36"/>
          <w:highlight w:val="none"/>
        </w:rPr>
      </w:pPr>
      <w:r>
        <w:rPr>
          <w:rFonts w:hint="eastAsia" w:ascii="宋体" w:hAnsi="宋体"/>
          <w:b/>
          <w:sz w:val="36"/>
          <w:highlight w:val="none"/>
        </w:rPr>
        <w:t>二〇二</w:t>
      </w:r>
      <w:r>
        <w:rPr>
          <w:rFonts w:hint="eastAsia" w:ascii="宋体" w:hAnsi="宋体"/>
          <w:b/>
          <w:sz w:val="36"/>
          <w:highlight w:val="none"/>
          <w:lang w:val="en-US" w:eastAsia="zh-CN"/>
        </w:rPr>
        <w:t>四</w:t>
      </w:r>
      <w:r>
        <w:rPr>
          <w:rFonts w:hint="eastAsia" w:ascii="宋体" w:hAnsi="宋体"/>
          <w:b/>
          <w:sz w:val="36"/>
          <w:highlight w:val="none"/>
        </w:rPr>
        <w:t>年</w:t>
      </w:r>
      <w:r>
        <w:rPr>
          <w:rFonts w:hint="eastAsia" w:ascii="宋体" w:hAnsi="宋体" w:cs="Times New Roman"/>
          <w:b/>
          <w:sz w:val="36"/>
          <w:highlight w:val="none"/>
          <w:lang w:val="en-US" w:eastAsia="zh-CN"/>
        </w:rPr>
        <w:t>四</w:t>
      </w:r>
      <w:r>
        <w:rPr>
          <w:rFonts w:hint="eastAsia" w:ascii="宋体" w:hAnsi="宋体"/>
          <w:b/>
          <w:sz w:val="36"/>
          <w:highlight w:val="none"/>
        </w:rPr>
        <w:t>月</w:t>
      </w:r>
    </w:p>
    <w:p>
      <w:pPr>
        <w:pStyle w:val="10"/>
        <w:rPr>
          <w:rFonts w:ascii="黑体" w:hAnsi="黑体" w:eastAsia="黑体"/>
          <w:b/>
          <w:sz w:val="30"/>
          <w:szCs w:val="30"/>
          <w:highlight w:val="none"/>
          <w:u w:val="single"/>
        </w:rPr>
      </w:pPr>
    </w:p>
    <w:p>
      <w:pPr>
        <w:rPr>
          <w:rFonts w:ascii="黑体" w:hAnsi="黑体" w:eastAsia="黑体"/>
          <w:b/>
          <w:sz w:val="30"/>
          <w:szCs w:val="30"/>
          <w:highlight w:val="none"/>
          <w:u w:val="single"/>
        </w:rPr>
      </w:pPr>
    </w:p>
    <w:p>
      <w:pPr>
        <w:jc w:val="center"/>
        <w:rPr>
          <w:rFonts w:hint="eastAsia" w:ascii="宋体" w:hAnsi="宋体"/>
          <w:b/>
          <w:sz w:val="48"/>
          <w:szCs w:val="48"/>
          <w:highlight w:val="none"/>
        </w:rPr>
      </w:pPr>
    </w:p>
    <w:p>
      <w:pPr>
        <w:jc w:val="center"/>
        <w:rPr>
          <w:rFonts w:ascii="宋体" w:hAnsi="宋体"/>
          <w:sz w:val="48"/>
          <w:szCs w:val="48"/>
          <w:highlight w:val="none"/>
        </w:rPr>
      </w:pPr>
      <w:r>
        <w:rPr>
          <w:rFonts w:ascii="宋体" w:hAnsi="宋体"/>
          <w:sz w:val="48"/>
          <w:szCs w:val="48"/>
          <w:highlight w:val="none"/>
        </w:rPr>
        <w:br w:type="page"/>
      </w:r>
      <w:r>
        <w:rPr>
          <w:rFonts w:ascii="宋体" w:hAnsi="宋体"/>
          <w:sz w:val="48"/>
          <w:szCs w:val="48"/>
          <w:highlight w:val="none"/>
        </w:rPr>
        <w:t>目</w:t>
      </w:r>
      <w:r>
        <w:rPr>
          <w:rFonts w:hint="eastAsia" w:ascii="宋体" w:hAnsi="宋体"/>
          <w:sz w:val="48"/>
          <w:szCs w:val="48"/>
          <w:highlight w:val="none"/>
        </w:rPr>
        <w:t xml:space="preserve">  </w:t>
      </w:r>
      <w:r>
        <w:rPr>
          <w:rFonts w:ascii="宋体" w:hAnsi="宋体"/>
          <w:sz w:val="48"/>
          <w:szCs w:val="48"/>
          <w:highlight w:val="none"/>
        </w:rPr>
        <w:t>录</w:t>
      </w:r>
    </w:p>
    <w:p>
      <w:pPr>
        <w:pStyle w:val="2"/>
        <w:rPr>
          <w:highlight w:val="none"/>
        </w:rPr>
      </w:pPr>
    </w:p>
    <w:p>
      <w:pPr>
        <w:pStyle w:val="3"/>
        <w:tabs>
          <w:tab w:val="right" w:leader="dot" w:pos="9219"/>
        </w:tabs>
        <w:spacing w:line="600" w:lineRule="exact"/>
        <w:rPr>
          <w:highlight w:val="none"/>
        </w:rPr>
      </w:pPr>
      <w:bookmarkStart w:id="0" w:name="_Toc8627"/>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_Toc12334 </w:instrText>
      </w:r>
      <w:r>
        <w:rPr>
          <w:highlight w:val="none"/>
        </w:rPr>
        <w:fldChar w:fldCharType="separate"/>
      </w:r>
      <w:r>
        <w:rPr>
          <w:rFonts w:ascii="宋体" w:hAnsi="宋体"/>
          <w:szCs w:val="31"/>
          <w:highlight w:val="none"/>
        </w:rPr>
        <w:t xml:space="preserve">第一章 </w:t>
      </w:r>
      <w:r>
        <w:rPr>
          <w:rFonts w:hint="eastAsia" w:ascii="宋体" w:hAnsi="宋体"/>
          <w:szCs w:val="31"/>
          <w:highlight w:val="none"/>
        </w:rPr>
        <w:t>比选公告</w:t>
      </w:r>
      <w:r>
        <w:rPr>
          <w:highlight w:val="none"/>
        </w:rPr>
        <w:tab/>
      </w:r>
      <w:r>
        <w:rPr>
          <w:highlight w:val="none"/>
        </w:rPr>
        <w:fldChar w:fldCharType="begin"/>
      </w:r>
      <w:r>
        <w:rPr>
          <w:highlight w:val="none"/>
        </w:rPr>
        <w:instrText xml:space="preserve"> PAGEREF _Toc12334 \h </w:instrText>
      </w:r>
      <w:r>
        <w:rPr>
          <w:highlight w:val="none"/>
        </w:rPr>
        <w:fldChar w:fldCharType="separate"/>
      </w:r>
      <w:r>
        <w:rPr>
          <w:highlight w:val="none"/>
        </w:rPr>
        <w:t>1</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_Toc24573 </w:instrText>
      </w:r>
      <w:r>
        <w:rPr>
          <w:highlight w:val="none"/>
        </w:rPr>
        <w:fldChar w:fldCharType="separate"/>
      </w:r>
      <w:r>
        <w:rPr>
          <w:rFonts w:ascii="宋体" w:hAnsi="宋体"/>
          <w:szCs w:val="31"/>
          <w:highlight w:val="none"/>
        </w:rPr>
        <w:t xml:space="preserve">第二章 </w:t>
      </w:r>
      <w:r>
        <w:rPr>
          <w:rFonts w:hint="eastAsia" w:ascii="宋体" w:hAnsi="宋体"/>
          <w:szCs w:val="31"/>
          <w:highlight w:val="none"/>
        </w:rPr>
        <w:t>参选人须知</w:t>
      </w:r>
      <w:r>
        <w:rPr>
          <w:highlight w:val="none"/>
        </w:rPr>
        <w:tab/>
      </w:r>
      <w:r>
        <w:rPr>
          <w:highlight w:val="none"/>
        </w:rPr>
        <w:fldChar w:fldCharType="begin"/>
      </w:r>
      <w:r>
        <w:rPr>
          <w:highlight w:val="none"/>
        </w:rPr>
        <w:instrText xml:space="preserve"> PAGEREF _Toc24573 \h </w:instrText>
      </w:r>
      <w:r>
        <w:rPr>
          <w:highlight w:val="none"/>
        </w:rPr>
        <w:fldChar w:fldCharType="separate"/>
      </w:r>
      <w:r>
        <w:rPr>
          <w:highlight w:val="none"/>
        </w:rPr>
        <w:t>2</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_Toc4319 </w:instrText>
      </w:r>
      <w:r>
        <w:rPr>
          <w:highlight w:val="none"/>
        </w:rPr>
        <w:fldChar w:fldCharType="separate"/>
      </w:r>
      <w:r>
        <w:rPr>
          <w:rFonts w:hint="eastAsia" w:ascii="宋体" w:hAnsi="宋体" w:cs="宋体"/>
          <w:szCs w:val="32"/>
          <w:highlight w:val="none"/>
        </w:rPr>
        <w:t>第三章 评审办法</w:t>
      </w:r>
      <w:r>
        <w:rPr>
          <w:highlight w:val="none"/>
        </w:rPr>
        <w:tab/>
      </w:r>
      <w:r>
        <w:rPr>
          <w:highlight w:val="none"/>
        </w:rPr>
        <w:fldChar w:fldCharType="begin"/>
      </w:r>
      <w:r>
        <w:rPr>
          <w:highlight w:val="none"/>
        </w:rPr>
        <w:instrText xml:space="preserve"> PAGEREF _Toc4319 \h </w:instrText>
      </w:r>
      <w:r>
        <w:rPr>
          <w:highlight w:val="none"/>
        </w:rPr>
        <w:fldChar w:fldCharType="separate"/>
      </w:r>
      <w:r>
        <w:rPr>
          <w:highlight w:val="none"/>
        </w:rPr>
        <w:t>10</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_Toc6650 </w:instrText>
      </w:r>
      <w:r>
        <w:rPr>
          <w:highlight w:val="none"/>
        </w:rPr>
        <w:fldChar w:fldCharType="separate"/>
      </w:r>
      <w:r>
        <w:rPr>
          <w:rFonts w:hint="eastAsia" w:ascii="宋体" w:hAnsi="宋体" w:cs="宋体"/>
          <w:szCs w:val="32"/>
          <w:highlight w:val="none"/>
        </w:rPr>
        <w:t>第四章 项目需求</w:t>
      </w:r>
      <w:r>
        <w:rPr>
          <w:highlight w:val="none"/>
        </w:rPr>
        <w:tab/>
      </w:r>
      <w:r>
        <w:rPr>
          <w:highlight w:val="none"/>
        </w:rPr>
        <w:fldChar w:fldCharType="begin"/>
      </w:r>
      <w:r>
        <w:rPr>
          <w:highlight w:val="none"/>
        </w:rPr>
        <w:instrText xml:space="preserve"> PAGEREF _Toc6650 \h </w:instrText>
      </w:r>
      <w:r>
        <w:rPr>
          <w:highlight w:val="none"/>
        </w:rPr>
        <w:fldChar w:fldCharType="separate"/>
      </w:r>
      <w:r>
        <w:rPr>
          <w:highlight w:val="none"/>
        </w:rPr>
        <w:t>11</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_Toc21843 </w:instrText>
      </w:r>
      <w:r>
        <w:rPr>
          <w:highlight w:val="none"/>
        </w:rPr>
        <w:fldChar w:fldCharType="separate"/>
      </w:r>
      <w:r>
        <w:rPr>
          <w:rFonts w:hint="eastAsia"/>
          <w:highlight w:val="none"/>
        </w:rPr>
        <w:t>第五</w:t>
      </w:r>
      <w:r>
        <w:rPr>
          <w:rFonts w:hint="eastAsia" w:ascii="_x000B__x000C_" w:hAnsi="_x000B__x000C_"/>
          <w:bCs/>
          <w:szCs w:val="36"/>
          <w:highlight w:val="none"/>
        </w:rPr>
        <w:t>章</w:t>
      </w:r>
      <w:r>
        <w:rPr>
          <w:rFonts w:hint="eastAsia" w:ascii="_x000B__x000C_" w:hAnsi="_x000B__x000C_"/>
          <w:bCs/>
          <w:highlight w:val="none"/>
        </w:rPr>
        <w:t xml:space="preserve"> </w:t>
      </w:r>
      <w:r>
        <w:rPr>
          <w:rFonts w:hint="eastAsia"/>
          <w:highlight w:val="none"/>
          <w:lang w:eastAsia="zh-CN"/>
        </w:rPr>
        <w:t>合同基本条款</w:t>
      </w:r>
      <w:r>
        <w:rPr>
          <w:highlight w:val="none"/>
        </w:rPr>
        <w:tab/>
      </w:r>
      <w:r>
        <w:rPr>
          <w:highlight w:val="none"/>
        </w:rPr>
        <w:fldChar w:fldCharType="begin"/>
      </w:r>
      <w:r>
        <w:rPr>
          <w:highlight w:val="none"/>
        </w:rPr>
        <w:instrText xml:space="preserve"> PAGEREF _Toc21843 \h </w:instrText>
      </w:r>
      <w:r>
        <w:rPr>
          <w:highlight w:val="none"/>
        </w:rPr>
        <w:fldChar w:fldCharType="separate"/>
      </w:r>
      <w:r>
        <w:rPr>
          <w:highlight w:val="none"/>
        </w:rPr>
        <w:t>14</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_Toc24951 </w:instrText>
      </w:r>
      <w:r>
        <w:rPr>
          <w:highlight w:val="none"/>
        </w:rPr>
        <w:fldChar w:fldCharType="separate"/>
      </w:r>
      <w:r>
        <w:rPr>
          <w:rFonts w:hint="eastAsia"/>
          <w:highlight w:val="none"/>
        </w:rPr>
        <w:t xml:space="preserve">第六章 参选文件格式 </w:t>
      </w:r>
      <w:r>
        <w:rPr>
          <w:highlight w:val="none"/>
        </w:rPr>
        <w:tab/>
      </w:r>
      <w:r>
        <w:rPr>
          <w:highlight w:val="none"/>
        </w:rPr>
        <w:fldChar w:fldCharType="begin"/>
      </w:r>
      <w:r>
        <w:rPr>
          <w:highlight w:val="none"/>
        </w:rPr>
        <w:instrText xml:space="preserve"> PAGEREF _Toc24951 \h </w:instrText>
      </w:r>
      <w:r>
        <w:rPr>
          <w:highlight w:val="none"/>
        </w:rPr>
        <w:fldChar w:fldCharType="separate"/>
      </w:r>
      <w:r>
        <w:rPr>
          <w:highlight w:val="none"/>
        </w:rPr>
        <w:t>15</w:t>
      </w:r>
      <w:r>
        <w:rPr>
          <w:highlight w:val="none"/>
        </w:rPr>
        <w:fldChar w:fldCharType="end"/>
      </w:r>
      <w:r>
        <w:rPr>
          <w:highlight w:val="none"/>
        </w:rPr>
        <w:fldChar w:fldCharType="end"/>
      </w:r>
    </w:p>
    <w:p>
      <w:pPr>
        <w:snapToGrid w:val="0"/>
        <w:spacing w:line="600" w:lineRule="exact"/>
        <w:rPr>
          <w:highlight w:val="none"/>
        </w:rPr>
      </w:pPr>
      <w:r>
        <w:rPr>
          <w:highlight w:val="none"/>
        </w:rPr>
        <w:fldChar w:fldCharType="end"/>
      </w:r>
    </w:p>
    <w:p>
      <w:pPr>
        <w:pStyle w:val="22"/>
        <w:numPr>
          <w:ilvl w:val="0"/>
          <w:numId w:val="2"/>
        </w:numPr>
        <w:spacing w:line="300" w:lineRule="exact"/>
        <w:jc w:val="center"/>
        <w:outlineLvl w:val="0"/>
        <w:rPr>
          <w:rStyle w:val="28"/>
          <w:rFonts w:hint="eastAsia" w:ascii="宋体" w:hAnsi="宋体"/>
          <w:b/>
          <w:sz w:val="31"/>
          <w:szCs w:val="31"/>
          <w:highlight w:val="none"/>
        </w:rPr>
        <w:sectPr>
          <w:footerReference r:id="rId4" w:type="first"/>
          <w:headerReference r:id="rId3" w:type="default"/>
          <w:pgSz w:w="11906" w:h="16839"/>
          <w:pgMar w:top="820" w:right="1358" w:bottom="720" w:left="1329" w:header="0" w:footer="601" w:gutter="0"/>
          <w:pgNumType w:start="1"/>
          <w:cols w:space="720" w:num="1"/>
        </w:sectPr>
      </w:pPr>
      <w:bookmarkStart w:id="1" w:name="_Toc12334"/>
    </w:p>
    <w:p>
      <w:pPr>
        <w:pStyle w:val="22"/>
        <w:numPr>
          <w:ilvl w:val="0"/>
          <w:numId w:val="2"/>
        </w:numPr>
        <w:spacing w:line="360" w:lineRule="auto"/>
        <w:jc w:val="center"/>
        <w:outlineLvl w:val="0"/>
        <w:rPr>
          <w:rStyle w:val="28"/>
          <w:rFonts w:hint="eastAsia" w:ascii="宋体" w:hAnsi="宋体"/>
          <w:b/>
          <w:sz w:val="31"/>
          <w:szCs w:val="31"/>
          <w:highlight w:val="none"/>
        </w:rPr>
      </w:pPr>
      <w:r>
        <w:rPr>
          <w:rStyle w:val="28"/>
          <w:rFonts w:hint="eastAsia" w:ascii="宋体" w:hAnsi="宋体"/>
          <w:b/>
          <w:sz w:val="31"/>
          <w:szCs w:val="31"/>
          <w:highlight w:val="none"/>
        </w:rPr>
        <w:t>比选公告</w:t>
      </w:r>
      <w:bookmarkEnd w:id="0"/>
      <w:bookmarkEnd w:id="1"/>
    </w:p>
    <w:p>
      <w:pPr>
        <w:pStyle w:val="22"/>
        <w:snapToGrid w:val="0"/>
        <w:spacing w:before="0" w:after="0" w:line="360" w:lineRule="auto"/>
        <w:ind w:firstLine="555"/>
        <w:jc w:val="both"/>
        <w:rPr>
          <w:rFonts w:hint="eastAsia" w:ascii="新宋体" w:hAnsi="新宋体" w:eastAsia="新宋体"/>
          <w:kern w:val="2"/>
          <w:sz w:val="24"/>
          <w:szCs w:val="24"/>
          <w:highlight w:val="none"/>
          <w:lang w:val="zh-CN"/>
        </w:rPr>
      </w:pPr>
      <w:r>
        <w:rPr>
          <w:rFonts w:hint="eastAsia" w:ascii="新宋体" w:hAnsi="新宋体" w:eastAsia="新宋体"/>
          <w:kern w:val="2"/>
          <w:sz w:val="24"/>
          <w:szCs w:val="24"/>
          <w:highlight w:val="none"/>
          <w:lang w:val="zh-CN"/>
        </w:rPr>
        <w:t>江西合安项目管理有限公司受南昌红投置业有限公司的委托，就</w:t>
      </w:r>
      <w:r>
        <w:rPr>
          <w:rFonts w:hint="eastAsia" w:ascii="新宋体" w:hAnsi="新宋体" w:eastAsia="新宋体"/>
          <w:kern w:val="2"/>
          <w:sz w:val="24"/>
          <w:szCs w:val="24"/>
          <w:highlight w:val="none"/>
          <w:lang w:eastAsia="zh-CN"/>
        </w:rPr>
        <w:t>滨湖人文一期项目开荒保洁工程</w:t>
      </w:r>
      <w:r>
        <w:rPr>
          <w:rFonts w:hint="eastAsia" w:ascii="新宋体" w:hAnsi="新宋体" w:eastAsia="新宋体"/>
          <w:kern w:val="2"/>
          <w:sz w:val="24"/>
          <w:szCs w:val="24"/>
          <w:highlight w:val="none"/>
          <w:lang w:val="zh-CN"/>
        </w:rPr>
        <w:t>（项目编号：</w:t>
      </w:r>
      <w:r>
        <w:rPr>
          <w:rFonts w:hint="eastAsia" w:ascii="宋体" w:hAnsi="宋体" w:eastAsia="新宋体"/>
          <w:sz w:val="24"/>
          <w:szCs w:val="24"/>
          <w:highlight w:val="none"/>
          <w:lang w:eastAsia="zh-CN"/>
        </w:rPr>
        <w:t>JXHA20240407</w:t>
      </w:r>
      <w:r>
        <w:rPr>
          <w:rFonts w:hint="eastAsia" w:ascii="新宋体" w:hAnsi="新宋体" w:eastAsia="新宋体"/>
          <w:kern w:val="2"/>
          <w:sz w:val="24"/>
          <w:szCs w:val="24"/>
          <w:highlight w:val="none"/>
          <w:lang w:val="zh-CN"/>
        </w:rPr>
        <w:t>）进行国内公开比选，</w:t>
      </w:r>
      <w:r>
        <w:rPr>
          <w:rFonts w:hint="eastAsia" w:ascii="宋体" w:hAnsi="宋体"/>
          <w:sz w:val="24"/>
          <w:szCs w:val="24"/>
          <w:highlight w:val="none"/>
        </w:rPr>
        <w:t>欢迎符合资格条件的参选人参与比选。</w:t>
      </w:r>
    </w:p>
    <w:p>
      <w:pPr>
        <w:snapToGri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一、项目清单：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650"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项目编号</w:t>
            </w:r>
          </w:p>
        </w:tc>
        <w:tc>
          <w:tcPr>
            <w:tcW w:w="255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项目名称</w:t>
            </w:r>
          </w:p>
        </w:tc>
        <w:tc>
          <w:tcPr>
            <w:tcW w:w="993"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数量</w:t>
            </w:r>
          </w:p>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（单位）</w:t>
            </w:r>
          </w:p>
        </w:tc>
        <w:tc>
          <w:tcPr>
            <w:tcW w:w="2487"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项目需求</w:t>
            </w:r>
          </w:p>
        </w:tc>
        <w:tc>
          <w:tcPr>
            <w:tcW w:w="200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50"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cs="宋体"/>
                <w:color w:val="000000"/>
                <w:szCs w:val="21"/>
                <w:highlight w:val="none"/>
                <w:lang w:val="zh-CN"/>
              </w:rPr>
              <w:t>JXHA20240407</w:t>
            </w:r>
          </w:p>
        </w:tc>
        <w:tc>
          <w:tcPr>
            <w:tcW w:w="2551" w:type="dxa"/>
            <w:noWrap w:val="0"/>
            <w:vAlign w:val="center"/>
          </w:tcPr>
          <w:p>
            <w:pPr>
              <w:widowControl/>
              <w:snapToGrid w:val="0"/>
              <w:rPr>
                <w:rFonts w:hint="eastAsia" w:ascii="宋体" w:hAnsi="宋体" w:eastAsia="宋体" w:cs="宋体"/>
                <w:color w:val="000000"/>
                <w:szCs w:val="21"/>
                <w:highlight w:val="none"/>
                <w:lang w:val="zh-CN" w:eastAsia="zh-CN"/>
              </w:rPr>
            </w:pPr>
            <w:r>
              <w:rPr>
                <w:rFonts w:hint="eastAsia" w:ascii="宋体" w:hAnsi="宋体" w:cs="宋体"/>
                <w:color w:val="000000"/>
                <w:szCs w:val="21"/>
                <w:highlight w:val="none"/>
                <w:lang w:eastAsia="zh-CN"/>
              </w:rPr>
              <w:t>滨湖人文一期项目开荒保洁工程</w:t>
            </w:r>
          </w:p>
        </w:tc>
        <w:tc>
          <w:tcPr>
            <w:tcW w:w="993"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1项</w:t>
            </w:r>
          </w:p>
        </w:tc>
        <w:tc>
          <w:tcPr>
            <w:tcW w:w="2487"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详见“第四章 项目需求”</w:t>
            </w:r>
          </w:p>
        </w:tc>
        <w:tc>
          <w:tcPr>
            <w:tcW w:w="2001" w:type="dxa"/>
            <w:noWrap w:val="0"/>
            <w:vAlign w:val="center"/>
          </w:tcPr>
          <w:p>
            <w:pPr>
              <w:snapToGrid w:val="0"/>
              <w:ind w:left="29" w:right="79" w:hanging="23"/>
              <w:jc w:val="center"/>
              <w:rPr>
                <w:rFonts w:hint="eastAsia" w:ascii="宋体" w:hAnsi="宋体" w:eastAsia="宋体" w:cs="宋体"/>
                <w:color w:val="000000"/>
                <w:szCs w:val="21"/>
                <w:highlight w:val="none"/>
                <w:lang w:val="en-US"/>
              </w:rPr>
            </w:pPr>
            <w:r>
              <w:rPr>
                <w:rFonts w:hint="eastAsia" w:ascii="宋体" w:hAnsi="宋体" w:cs="宋体"/>
                <w:color w:val="000000"/>
                <w:szCs w:val="21"/>
                <w:highlight w:val="none"/>
                <w:lang w:val="en-US" w:eastAsia="zh-CN"/>
              </w:rPr>
              <w:t>292640.94</w:t>
            </w:r>
            <w:r>
              <w:rPr>
                <w:rFonts w:hint="eastAsia" w:ascii="宋体" w:hAnsi="宋体" w:eastAsia="宋体" w:cs="宋体"/>
                <w:color w:val="000000"/>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82" w:type="dxa"/>
            <w:gridSpan w:val="5"/>
            <w:noWrap w:val="0"/>
            <w:vAlign w:val="center"/>
          </w:tcPr>
          <w:p>
            <w:pPr>
              <w:snapToGrid w:val="0"/>
              <w:ind w:left="29" w:right="79" w:hanging="23"/>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rPr>
              <w:t>备注：参选人参选报价不得超过招标控制总价和单价，否则按无效响应处理</w:t>
            </w:r>
            <w:r>
              <w:rPr>
                <w:rFonts w:hint="eastAsia" w:ascii="宋体" w:hAnsi="宋体" w:eastAsia="宋体" w:cs="宋体"/>
                <w:color w:val="000000"/>
                <w:szCs w:val="21"/>
                <w:highlight w:val="none"/>
                <w:lang w:eastAsia="zh-CN"/>
              </w:rPr>
              <w:t>。</w:t>
            </w:r>
          </w:p>
        </w:tc>
      </w:tr>
    </w:tbl>
    <w:p>
      <w:pPr>
        <w:snapToGrid w:val="0"/>
        <w:spacing w:line="360" w:lineRule="auto"/>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二、项目概况</w:t>
      </w:r>
      <w:r>
        <w:rPr>
          <w:rFonts w:hint="eastAsia" w:ascii="宋体" w:hAnsi="宋体" w:cs="宋体"/>
          <w:b/>
          <w:bCs/>
          <w:kern w:val="0"/>
          <w:sz w:val="24"/>
          <w:highlight w:val="none"/>
          <w:lang w:eastAsia="zh-CN"/>
        </w:rPr>
        <w:t>：</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1、项目位置：</w:t>
      </w:r>
      <w:r>
        <w:rPr>
          <w:rFonts w:hint="eastAsia" w:ascii="宋体" w:hAnsi="宋体" w:cs="宋体"/>
          <w:kern w:val="0"/>
          <w:sz w:val="24"/>
          <w:highlight w:val="none"/>
          <w:lang w:eastAsia="zh-CN"/>
        </w:rPr>
        <w:t>南昌市红谷滩</w:t>
      </w:r>
      <w:r>
        <w:rPr>
          <w:rFonts w:hint="eastAsia" w:ascii="宋体" w:hAnsi="宋体" w:eastAsia="宋体" w:cs="宋体"/>
          <w:kern w:val="0"/>
          <w:sz w:val="24"/>
          <w:highlight w:val="none"/>
          <w:lang w:eastAsia="zh-CN"/>
        </w:rPr>
        <w:t>区；</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2、招标范围：</w:t>
      </w:r>
      <w:r>
        <w:rPr>
          <w:rFonts w:hint="eastAsia" w:ascii="宋体" w:hAnsi="宋体" w:cs="宋体"/>
          <w:kern w:val="0"/>
          <w:sz w:val="24"/>
          <w:highlight w:val="none"/>
          <w:lang w:eastAsia="zh-CN"/>
        </w:rPr>
        <w:t>滨湖人文一期项目开荒保洁工程</w:t>
      </w:r>
      <w:r>
        <w:rPr>
          <w:rFonts w:hint="eastAsia" w:ascii="宋体" w:hAnsi="宋体" w:eastAsia="宋体" w:cs="宋体"/>
          <w:kern w:val="0"/>
          <w:sz w:val="24"/>
          <w:highlight w:val="none"/>
          <w:lang w:eastAsia="zh-CN"/>
        </w:rPr>
        <w:t>；</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3、招标控制价：</w:t>
      </w:r>
      <w:r>
        <w:rPr>
          <w:rFonts w:hint="eastAsia" w:ascii="宋体" w:hAnsi="宋体" w:cs="宋体"/>
          <w:kern w:val="0"/>
          <w:sz w:val="24"/>
          <w:highlight w:val="none"/>
          <w:lang w:val="en-US" w:eastAsia="zh-CN"/>
        </w:rPr>
        <w:t>292640.94</w:t>
      </w:r>
      <w:r>
        <w:rPr>
          <w:rFonts w:hint="eastAsia" w:ascii="宋体" w:hAnsi="宋体" w:eastAsia="宋体" w:cs="宋体"/>
          <w:kern w:val="0"/>
          <w:sz w:val="24"/>
          <w:highlight w:val="none"/>
          <w:lang w:eastAsia="zh-CN"/>
        </w:rPr>
        <w:t>元；</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4、工期：</w:t>
      </w:r>
      <w:r>
        <w:rPr>
          <w:rFonts w:hint="eastAsia" w:ascii="宋体" w:hAnsi="宋体" w:eastAsia="宋体" w:cs="宋体"/>
          <w:kern w:val="0"/>
          <w:sz w:val="24"/>
          <w:highlight w:val="none"/>
          <w:lang w:val="en-US" w:eastAsia="zh-CN"/>
        </w:rPr>
        <w:t>1</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en-US" w:eastAsia="zh-CN"/>
        </w:rPr>
        <w:t>日历天，</w:t>
      </w:r>
      <w:r>
        <w:rPr>
          <w:rFonts w:hint="eastAsia" w:ascii="宋体" w:hAnsi="宋体" w:eastAsia="宋体" w:cs="宋体"/>
          <w:kern w:val="0"/>
          <w:sz w:val="24"/>
          <w:highlight w:val="none"/>
          <w:lang w:eastAsia="zh-CN"/>
        </w:rPr>
        <w:t>具体开工时间以</w:t>
      </w:r>
      <w:r>
        <w:rPr>
          <w:rFonts w:hint="eastAsia" w:ascii="宋体" w:hAnsi="宋体" w:cs="宋体"/>
          <w:kern w:val="0"/>
          <w:sz w:val="24"/>
          <w:highlight w:val="none"/>
          <w:lang w:val="en-US" w:eastAsia="zh-CN"/>
        </w:rPr>
        <w:t>比选人</w:t>
      </w:r>
      <w:r>
        <w:rPr>
          <w:rFonts w:hint="eastAsia" w:ascii="宋体" w:hAnsi="宋体" w:eastAsia="宋体" w:cs="宋体"/>
          <w:kern w:val="0"/>
          <w:sz w:val="24"/>
          <w:highlight w:val="none"/>
          <w:lang w:eastAsia="zh-CN"/>
        </w:rPr>
        <w:t>通知为准。</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5、付款方式：</w:t>
      </w:r>
    </w:p>
    <w:p>
      <w:pPr>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5.1中选</w:t>
      </w:r>
      <w:r>
        <w:rPr>
          <w:rFonts w:hint="eastAsia" w:ascii="宋体" w:hAnsi="宋体" w:eastAsia="宋体" w:cs="宋体"/>
          <w:kern w:val="0"/>
          <w:sz w:val="24"/>
          <w:highlight w:val="none"/>
          <w:lang w:val="en-US" w:eastAsia="zh-CN"/>
        </w:rPr>
        <w:t>人完成比选人指定的开荒保洁工作，经</w:t>
      </w:r>
      <w:r>
        <w:rPr>
          <w:rFonts w:hint="eastAsia" w:ascii="宋体" w:hAnsi="宋体" w:cs="宋体"/>
          <w:kern w:val="0"/>
          <w:sz w:val="24"/>
          <w:highlight w:val="none"/>
          <w:lang w:val="en-US" w:eastAsia="zh-CN"/>
        </w:rPr>
        <w:t>比选人</w:t>
      </w:r>
      <w:r>
        <w:rPr>
          <w:rFonts w:hint="eastAsia" w:ascii="宋体" w:hAnsi="宋体" w:eastAsia="宋体" w:cs="宋体"/>
          <w:kern w:val="0"/>
          <w:sz w:val="24"/>
          <w:highlight w:val="none"/>
          <w:lang w:val="en-US" w:eastAsia="zh-CN"/>
        </w:rPr>
        <w:t>及代建验收合格后提交进度付款申请单，</w:t>
      </w:r>
      <w:r>
        <w:rPr>
          <w:rFonts w:hint="eastAsia" w:ascii="宋体" w:hAnsi="宋体" w:cs="宋体"/>
          <w:kern w:val="0"/>
          <w:sz w:val="24"/>
          <w:highlight w:val="none"/>
          <w:lang w:val="en-US" w:eastAsia="zh-CN"/>
        </w:rPr>
        <w:t>比选人</w:t>
      </w:r>
      <w:r>
        <w:rPr>
          <w:rFonts w:hint="eastAsia" w:ascii="宋体" w:hAnsi="宋体" w:eastAsia="宋体" w:cs="宋体"/>
          <w:kern w:val="0"/>
          <w:sz w:val="24"/>
          <w:highlight w:val="none"/>
          <w:lang w:val="en-US" w:eastAsia="zh-CN"/>
        </w:rPr>
        <w:t>应在收到进度付款申请单且</w:t>
      </w:r>
      <w:r>
        <w:rPr>
          <w:rFonts w:hint="eastAsia" w:ascii="宋体" w:hAnsi="宋体" w:cs="宋体"/>
          <w:kern w:val="0"/>
          <w:sz w:val="24"/>
          <w:highlight w:val="none"/>
          <w:lang w:val="en-US" w:eastAsia="zh-CN"/>
        </w:rPr>
        <w:t>中选</w:t>
      </w:r>
      <w:r>
        <w:rPr>
          <w:rFonts w:hint="eastAsia" w:ascii="宋体" w:hAnsi="宋体" w:eastAsia="宋体" w:cs="宋体"/>
          <w:kern w:val="0"/>
          <w:sz w:val="24"/>
          <w:highlight w:val="none"/>
          <w:lang w:val="en-US" w:eastAsia="zh-CN"/>
        </w:rPr>
        <w:t>人提交了合格的增值税专用发票后的 28 天内，将进度应付款支付给</w:t>
      </w:r>
      <w:r>
        <w:rPr>
          <w:rFonts w:hint="eastAsia" w:ascii="宋体" w:hAnsi="宋体" w:cs="宋体"/>
          <w:kern w:val="0"/>
          <w:sz w:val="24"/>
          <w:highlight w:val="none"/>
          <w:lang w:val="en-US" w:eastAsia="zh-CN"/>
        </w:rPr>
        <w:t>中选</w:t>
      </w:r>
      <w:r>
        <w:rPr>
          <w:rFonts w:hint="eastAsia" w:ascii="宋体" w:hAnsi="宋体" w:eastAsia="宋体" w:cs="宋体"/>
          <w:kern w:val="0"/>
          <w:sz w:val="24"/>
          <w:highlight w:val="none"/>
          <w:lang w:val="en-US" w:eastAsia="zh-CN"/>
        </w:rPr>
        <w:t>人</w:t>
      </w:r>
      <w:r>
        <w:rPr>
          <w:rFonts w:hint="eastAsia" w:ascii="宋体" w:hAnsi="宋体" w:cs="宋体"/>
          <w:kern w:val="0"/>
          <w:sz w:val="24"/>
          <w:highlight w:val="none"/>
          <w:lang w:val="en-US" w:eastAsia="zh-CN"/>
        </w:rPr>
        <w:t>，比选人</w:t>
      </w:r>
      <w:r>
        <w:rPr>
          <w:rFonts w:hint="eastAsia" w:ascii="宋体" w:hAnsi="宋体" w:eastAsia="宋体" w:cs="宋体"/>
          <w:kern w:val="0"/>
          <w:sz w:val="24"/>
          <w:highlight w:val="none"/>
          <w:lang w:val="en-US" w:eastAsia="zh-CN"/>
        </w:rPr>
        <w:t>向</w:t>
      </w:r>
      <w:r>
        <w:rPr>
          <w:rFonts w:hint="eastAsia" w:ascii="宋体" w:hAnsi="宋体" w:cs="宋体"/>
          <w:kern w:val="0"/>
          <w:sz w:val="24"/>
          <w:highlight w:val="none"/>
          <w:lang w:val="en-US" w:eastAsia="zh-CN"/>
        </w:rPr>
        <w:t>中选</w:t>
      </w:r>
      <w:r>
        <w:rPr>
          <w:rFonts w:hint="eastAsia" w:ascii="宋体" w:hAnsi="宋体" w:eastAsia="宋体" w:cs="宋体"/>
          <w:kern w:val="0"/>
          <w:sz w:val="24"/>
          <w:highlight w:val="none"/>
          <w:lang w:val="en-US" w:eastAsia="zh-CN"/>
        </w:rPr>
        <w:t>人支付当期开荒服务费。</w:t>
      </w:r>
    </w:p>
    <w:p>
      <w:pPr>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5.2</w:t>
      </w:r>
      <w:r>
        <w:rPr>
          <w:rFonts w:hint="eastAsia" w:ascii="宋体" w:hAnsi="宋体" w:eastAsia="宋体" w:cs="宋体"/>
          <w:kern w:val="0"/>
          <w:sz w:val="24"/>
          <w:highlight w:val="none"/>
          <w:lang w:val="en-US" w:eastAsia="zh-CN"/>
        </w:rPr>
        <w:t>进度款支付计算方式：</w:t>
      </w:r>
      <w:r>
        <w:rPr>
          <w:rFonts w:hint="eastAsia" w:ascii="宋体" w:hAnsi="宋体" w:cs="宋体"/>
          <w:kern w:val="0"/>
          <w:sz w:val="24"/>
          <w:highlight w:val="none"/>
          <w:lang w:val="en-US" w:eastAsia="zh-CN"/>
        </w:rPr>
        <w:t>比选人与中选人</w:t>
      </w:r>
      <w:r>
        <w:rPr>
          <w:rFonts w:hint="eastAsia" w:ascii="宋体" w:hAnsi="宋体" w:eastAsia="宋体" w:cs="宋体"/>
          <w:kern w:val="0"/>
          <w:sz w:val="24"/>
          <w:highlight w:val="none"/>
          <w:lang w:val="en-US" w:eastAsia="zh-CN"/>
        </w:rPr>
        <w:t>双方确认的工程量*中标单价*80%</w:t>
      </w:r>
    </w:p>
    <w:p>
      <w:pPr>
        <w:snapToGrid w:val="0"/>
        <w:spacing w:line="360" w:lineRule="auto"/>
        <w:jc w:val="left"/>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en-US" w:eastAsia="zh-CN"/>
        </w:rPr>
        <w:t>5.3</w:t>
      </w:r>
      <w:r>
        <w:rPr>
          <w:rFonts w:hint="eastAsia" w:ascii="宋体" w:hAnsi="宋体" w:eastAsia="宋体" w:cs="宋体"/>
          <w:kern w:val="0"/>
          <w:sz w:val="24"/>
          <w:highlight w:val="none"/>
          <w:lang w:val="en-US" w:eastAsia="zh-CN"/>
        </w:rPr>
        <w:t>结算方式：最终结算金额以中标清单面积计算规则*中标单价；</w:t>
      </w:r>
    </w:p>
    <w:p>
      <w:pPr>
        <w:snapToGrid w:val="0"/>
        <w:spacing w:line="360" w:lineRule="auto"/>
        <w:jc w:val="left"/>
        <w:rPr>
          <w:rFonts w:hint="eastAsia"/>
          <w:highlight w:val="none"/>
          <w:lang w:eastAsia="zh-CN"/>
        </w:rPr>
      </w:pPr>
      <w:r>
        <w:rPr>
          <w:rFonts w:hint="eastAsia" w:ascii="宋体" w:hAnsi="宋体" w:eastAsia="宋体" w:cs="宋体"/>
          <w:kern w:val="0"/>
          <w:sz w:val="24"/>
          <w:highlight w:val="none"/>
          <w:lang w:eastAsia="zh-CN"/>
        </w:rPr>
        <w:t>6、资金来源：自筹。</w:t>
      </w:r>
    </w:p>
    <w:p>
      <w:pPr>
        <w:snapToGrid w:val="0"/>
        <w:spacing w:line="360" w:lineRule="auto"/>
        <w:rPr>
          <w:rFonts w:ascii="宋体" w:hAnsi="宋体" w:cs="宋体"/>
          <w:b/>
          <w:bCs/>
          <w:kern w:val="0"/>
          <w:sz w:val="24"/>
          <w:highlight w:val="none"/>
        </w:rPr>
      </w:pPr>
      <w:r>
        <w:rPr>
          <w:rFonts w:hint="eastAsia" w:ascii="宋体" w:hAnsi="宋体" w:cs="宋体"/>
          <w:b/>
          <w:bCs/>
          <w:kern w:val="0"/>
          <w:sz w:val="24"/>
          <w:highlight w:val="none"/>
        </w:rPr>
        <w:t>三、参选人资格要求：</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1、具有独立承担民事责任的能力；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2、具有良好的商业信誉和健全的财务会计制度；</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3、具有履行合同所必需的</w:t>
      </w:r>
      <w:r>
        <w:rPr>
          <w:rFonts w:hint="eastAsia" w:ascii="宋体" w:hAnsi="宋体" w:cs="宋体"/>
          <w:kern w:val="0"/>
          <w:sz w:val="24"/>
          <w:highlight w:val="none"/>
          <w:lang w:val="en-US" w:eastAsia="zh-CN"/>
        </w:rPr>
        <w:t>设备</w:t>
      </w:r>
      <w:r>
        <w:rPr>
          <w:rFonts w:hint="eastAsia" w:ascii="宋体" w:hAnsi="宋体" w:cs="宋体"/>
          <w:kern w:val="0"/>
          <w:sz w:val="24"/>
          <w:highlight w:val="none"/>
        </w:rPr>
        <w:t>和专业技术能力；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4、具有依法缴纳税收和社会保障资金的良好记录；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5、参加比选活动前三年内，在经营活动中没有重大违法记录；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6、</w:t>
      </w:r>
      <w:r>
        <w:rPr>
          <w:rFonts w:hint="eastAsia" w:ascii="宋体" w:hAnsi="宋体" w:cs="宋体"/>
          <w:kern w:val="0"/>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kern w:val="0"/>
          <w:sz w:val="24"/>
          <w:highlight w:val="none"/>
          <w:lang w:val="en-US" w:eastAsia="zh-CN"/>
        </w:rPr>
        <w:t>参选人</w:t>
      </w:r>
      <w:r>
        <w:rPr>
          <w:rFonts w:hint="eastAsia" w:ascii="宋体" w:hAnsi="宋体" w:cs="宋体"/>
          <w:kern w:val="0"/>
          <w:sz w:val="24"/>
          <w:highlight w:val="none"/>
          <w:lang w:eastAsia="zh-CN"/>
        </w:rPr>
        <w:t>和通过中国政府采购网查询相关主体信用记录，被列入政府采购严重违法失信行为记录名单（处罚期限尚未届满的）</w:t>
      </w:r>
      <w:r>
        <w:rPr>
          <w:rFonts w:hint="eastAsia" w:ascii="宋体" w:hAnsi="宋体" w:cs="宋体"/>
          <w:kern w:val="0"/>
          <w:sz w:val="24"/>
          <w:highlight w:val="none"/>
          <w:lang w:val="en-US" w:eastAsia="zh-CN"/>
        </w:rPr>
        <w:t>参选人</w:t>
      </w:r>
      <w:r>
        <w:rPr>
          <w:rFonts w:hint="eastAsia" w:ascii="宋体" w:hAnsi="宋体" w:cs="宋体"/>
          <w:kern w:val="0"/>
          <w:sz w:val="24"/>
          <w:highlight w:val="none"/>
          <w:lang w:eastAsia="zh-CN"/>
        </w:rPr>
        <w:t>，不得参与本项目的</w:t>
      </w:r>
      <w:r>
        <w:rPr>
          <w:rFonts w:hint="eastAsia" w:ascii="宋体" w:hAnsi="宋体" w:cs="宋体"/>
          <w:kern w:val="0"/>
          <w:sz w:val="24"/>
          <w:highlight w:val="none"/>
          <w:lang w:val="en-US" w:eastAsia="zh-CN"/>
        </w:rPr>
        <w:t>比选</w:t>
      </w:r>
      <w:r>
        <w:rPr>
          <w:rFonts w:hint="eastAsia" w:ascii="宋体" w:hAnsi="宋体" w:cs="宋体"/>
          <w:kern w:val="0"/>
          <w:sz w:val="24"/>
          <w:highlight w:val="none"/>
          <w:lang w:eastAsia="zh-CN"/>
        </w:rPr>
        <w:t>活动</w:t>
      </w:r>
      <w:r>
        <w:rPr>
          <w:rFonts w:hint="eastAsia" w:ascii="宋体" w:hAnsi="宋体" w:cs="宋体"/>
          <w:kern w:val="0"/>
          <w:sz w:val="24"/>
          <w:highlight w:val="none"/>
        </w:rPr>
        <w:t>；</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7、其它资格要求：</w:t>
      </w:r>
      <w:r>
        <w:rPr>
          <w:rFonts w:hint="eastAsia" w:ascii="宋体" w:hAnsi="宋体" w:cs="宋体"/>
          <w:kern w:val="0"/>
          <w:sz w:val="24"/>
          <w:highlight w:val="none"/>
          <w:lang w:val="en-US" w:eastAsia="zh-CN"/>
        </w:rPr>
        <w:t>无</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8、本项目不接受联合体参选。</w:t>
      </w:r>
    </w:p>
    <w:p>
      <w:pPr>
        <w:widowControl/>
        <w:tabs>
          <w:tab w:val="left" w:pos="0"/>
        </w:tabs>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四、比选文件的获取：</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rPr>
        <w:t>凡有意参加</w:t>
      </w:r>
      <w:r>
        <w:rPr>
          <w:rFonts w:hint="eastAsia" w:ascii="宋体" w:hAnsi="宋体" w:eastAsia="宋体" w:cs="宋体"/>
          <w:kern w:val="0"/>
          <w:sz w:val="24"/>
          <w:lang w:eastAsia="zh-CN"/>
        </w:rPr>
        <w:t>的参选人</w:t>
      </w:r>
      <w:r>
        <w:rPr>
          <w:rFonts w:hint="eastAsia" w:ascii="宋体" w:hAnsi="宋体" w:eastAsia="宋体" w:cs="宋体"/>
          <w:kern w:val="0"/>
          <w:sz w:val="24"/>
        </w:rPr>
        <w:t>，请于2024年</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月</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日起至2024年</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月</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日（法定公休日、法定节假日除外），每日上午9:00时至12:00时，下午14:00时至17:00时（北京时间，下同），在南昌市红谷滩城市投资集团有限公司网站(网址：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)上下载比选文件</w:t>
      </w:r>
      <w:r>
        <w:rPr>
          <w:rFonts w:hint="eastAsia" w:ascii="宋体" w:hAnsi="宋体" w:eastAsia="宋体" w:cs="宋体"/>
          <w:kern w:val="0"/>
          <w:sz w:val="24"/>
          <w:lang w:eastAsia="zh-CN"/>
        </w:rPr>
        <w:t>并</w:t>
      </w:r>
      <w:r>
        <w:rPr>
          <w:rFonts w:hint="eastAsia" w:ascii="宋体" w:hAnsi="宋体" w:eastAsia="宋体" w:cs="宋体"/>
          <w:kern w:val="0"/>
          <w:sz w:val="24"/>
        </w:rPr>
        <w:t>进行网上报名，</w:t>
      </w:r>
      <w:r>
        <w:rPr>
          <w:rFonts w:hint="eastAsia" w:ascii="宋体" w:hAnsi="宋体" w:eastAsia="宋体" w:cs="宋体"/>
          <w:kern w:val="0"/>
          <w:sz w:val="24"/>
          <w:lang w:eastAsia="zh-CN"/>
        </w:rPr>
        <w:t>报名时</w:t>
      </w:r>
      <w:r>
        <w:rPr>
          <w:rFonts w:hint="eastAsia" w:ascii="宋体" w:hAnsi="宋体" w:eastAsia="宋体" w:cs="宋体"/>
          <w:kern w:val="0"/>
          <w:sz w:val="24"/>
        </w:rPr>
        <w:t>必须将以下资料扫描件发送至</w:t>
      </w:r>
      <w:r>
        <w:rPr>
          <w:rFonts w:hint="eastAsia" w:ascii="宋体" w:hAnsi="宋体" w:cs="宋体"/>
          <w:kern w:val="0"/>
          <w:sz w:val="24"/>
          <w:lang w:val="en-US" w:eastAsia="zh-CN"/>
        </w:rPr>
        <w:t xml:space="preserve"> </w:t>
      </w:r>
      <w:r>
        <w:rPr>
          <w:rFonts w:hint="eastAsia" w:ascii="宋体" w:hAnsi="宋体" w:eastAsia="宋体" w:cs="宋体"/>
          <w:kern w:val="0"/>
          <w:sz w:val="24"/>
        </w:rPr>
        <w:t>代理机构电子邮箱(</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"mailto:jxfmf2022@163.com" </w:instrText>
      </w:r>
      <w:r>
        <w:rPr>
          <w:rFonts w:hint="eastAsia" w:ascii="宋体" w:hAnsi="宋体" w:eastAsia="宋体" w:cs="宋体"/>
          <w:kern w:val="0"/>
          <w:sz w:val="24"/>
        </w:rPr>
        <w:fldChar w:fldCharType="separate"/>
      </w:r>
      <w:r>
        <w:rPr>
          <w:rFonts w:hint="eastAsia" w:ascii="宋体" w:hAnsi="宋体" w:eastAsia="宋体" w:cs="宋体"/>
          <w:kern w:val="0"/>
          <w:sz w:val="24"/>
          <w:lang w:val="en-US" w:eastAsia="zh-CN"/>
        </w:rPr>
        <w:t>2809681280</w:t>
      </w:r>
      <w:r>
        <w:rPr>
          <w:rFonts w:hint="eastAsia" w:ascii="宋体" w:hAnsi="宋体" w:eastAsia="宋体" w:cs="宋体"/>
          <w:kern w:val="0"/>
          <w:sz w:val="24"/>
          <w:lang w:eastAsia="zh-CN"/>
        </w:rPr>
        <w:t>@qq.com</w:t>
      </w:r>
      <w:r>
        <w:rPr>
          <w:rFonts w:hint="eastAsia" w:ascii="宋体" w:hAnsi="宋体" w:eastAsia="宋体" w:cs="宋体"/>
          <w:kern w:val="0"/>
          <w:sz w:val="24"/>
        </w:rPr>
        <w:fldChar w:fldCharType="end"/>
      </w:r>
      <w:r>
        <w:rPr>
          <w:rFonts w:hint="eastAsia" w:ascii="宋体" w:hAnsi="宋体" w:eastAsia="宋体" w:cs="宋体"/>
          <w:kern w:val="0"/>
          <w:sz w:val="24"/>
        </w:rPr>
        <w:t xml:space="preserve"> )：1）营业执照复印件（加盖公章）；2）提供法定代表人授权委托书（或法定代表人证明资料）原件及被授权人（或法定代表人）身份证复印件（加盖公章）。未在规定时间内报名的潜在</w:t>
      </w:r>
      <w:r>
        <w:rPr>
          <w:rFonts w:hint="eastAsia" w:ascii="宋体" w:hAnsi="宋体" w:eastAsia="宋体" w:cs="宋体"/>
          <w:kern w:val="0"/>
          <w:sz w:val="24"/>
          <w:lang w:eastAsia="zh-CN"/>
        </w:rPr>
        <w:t>参选</w:t>
      </w:r>
      <w:r>
        <w:rPr>
          <w:rFonts w:hint="eastAsia" w:ascii="宋体" w:hAnsi="宋体" w:eastAsia="宋体" w:cs="宋体"/>
          <w:kern w:val="0"/>
          <w:sz w:val="24"/>
        </w:rPr>
        <w:t>人将失去</w:t>
      </w:r>
      <w:r>
        <w:rPr>
          <w:rFonts w:hint="eastAsia" w:ascii="宋体" w:hAnsi="宋体" w:eastAsia="宋体" w:cs="宋体"/>
          <w:kern w:val="0"/>
          <w:sz w:val="24"/>
          <w:lang w:eastAsia="zh-CN"/>
        </w:rPr>
        <w:t>参选</w:t>
      </w:r>
      <w:r>
        <w:rPr>
          <w:rFonts w:hint="eastAsia" w:ascii="宋体" w:hAnsi="宋体" w:eastAsia="宋体" w:cs="宋体"/>
          <w:kern w:val="0"/>
          <w:sz w:val="24"/>
        </w:rPr>
        <w:t>资格</w:t>
      </w:r>
      <w:r>
        <w:rPr>
          <w:rFonts w:hint="eastAsia" w:ascii="宋体" w:hAnsi="宋体" w:eastAsia="宋体" w:cs="宋体"/>
          <w:kern w:val="0"/>
          <w:sz w:val="24"/>
          <w:highlight w:val="none"/>
        </w:rPr>
        <w:t>。</w:t>
      </w:r>
    </w:p>
    <w:p>
      <w:pPr>
        <w:snapToGrid w:val="0"/>
        <w:spacing w:line="360" w:lineRule="auto"/>
        <w:rPr>
          <w:rFonts w:hint="eastAsia" w:ascii="宋体" w:hAnsi="宋体"/>
          <w:sz w:val="24"/>
          <w:highlight w:val="none"/>
        </w:rPr>
      </w:pPr>
      <w:r>
        <w:rPr>
          <w:rFonts w:hint="eastAsia" w:ascii="宋体" w:hAnsi="宋体" w:cs="宋体"/>
          <w:b/>
          <w:bCs/>
          <w:kern w:val="0"/>
          <w:sz w:val="24"/>
          <w:highlight w:val="none"/>
        </w:rPr>
        <w:t>五、</w:t>
      </w:r>
      <w:r>
        <w:rPr>
          <w:rFonts w:hint="eastAsia" w:ascii="宋体" w:hAnsi="宋体"/>
          <w:b/>
          <w:bCs/>
          <w:sz w:val="24"/>
          <w:highlight w:val="none"/>
        </w:rPr>
        <w:t>递交</w:t>
      </w:r>
      <w:r>
        <w:rPr>
          <w:rFonts w:hint="eastAsia" w:ascii="宋体" w:hAnsi="宋体" w:cs="宋体"/>
          <w:b/>
          <w:bCs/>
          <w:kern w:val="0"/>
          <w:sz w:val="24"/>
          <w:highlight w:val="none"/>
        </w:rPr>
        <w:t>参选</w:t>
      </w:r>
      <w:r>
        <w:rPr>
          <w:rFonts w:hint="eastAsia" w:ascii="宋体" w:hAnsi="宋体"/>
          <w:b/>
          <w:bCs/>
          <w:sz w:val="24"/>
          <w:highlight w:val="none"/>
        </w:rPr>
        <w:t>文件截止时间及比选地点：</w:t>
      </w:r>
    </w:p>
    <w:p>
      <w:pPr>
        <w:widowControl/>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1、递交参选文件截止时间和比选时间为202</w:t>
      </w:r>
      <w:r>
        <w:rPr>
          <w:rFonts w:hint="eastAsia" w:ascii="宋体" w:hAnsi="宋体" w:cs="宋体"/>
          <w:kern w:val="0"/>
          <w:sz w:val="24"/>
          <w:highlight w:val="none"/>
          <w:lang w:val="en-US" w:eastAsia="zh-CN"/>
        </w:rPr>
        <w:t>4</w:t>
      </w:r>
      <w:r>
        <w:rPr>
          <w:rFonts w:hint="eastAsia" w:ascii="宋体" w:hAnsi="宋体" w:cs="宋体"/>
          <w:kern w:val="0"/>
          <w:sz w:val="24"/>
          <w:highlight w:val="none"/>
        </w:rPr>
        <w:t>年</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月</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30(北京时间)</w:t>
      </w:r>
      <w:r>
        <w:rPr>
          <w:rFonts w:hint="eastAsia" w:ascii="宋体" w:hAnsi="宋体" w:cs="宋体"/>
          <w:kern w:val="0"/>
          <w:sz w:val="24"/>
          <w:highlight w:val="none"/>
          <w:lang w:eastAsia="zh-CN"/>
        </w:rPr>
        <w:t>；</w:t>
      </w:r>
    </w:p>
    <w:p>
      <w:pPr>
        <w:widowControl/>
        <w:snapToGrid w:val="0"/>
        <w:spacing w:line="360" w:lineRule="auto"/>
        <w:jc w:val="left"/>
        <w:rPr>
          <w:rFonts w:hint="eastAsia" w:ascii="宋体" w:hAnsi="宋体" w:cs="宋体"/>
          <w:kern w:val="0"/>
          <w:sz w:val="24"/>
          <w:highlight w:val="yellow"/>
        </w:rPr>
      </w:pPr>
      <w:r>
        <w:rPr>
          <w:rFonts w:hint="eastAsia" w:ascii="宋体" w:hAnsi="宋体" w:cs="宋体"/>
          <w:kern w:val="0"/>
          <w:sz w:val="24"/>
          <w:highlight w:val="none"/>
        </w:rPr>
        <w:t>2、比选地点：</w:t>
      </w:r>
      <w:r>
        <w:rPr>
          <w:rFonts w:hint="eastAsia" w:ascii="宋体" w:hAnsi="宋体" w:cs="宋体"/>
          <w:kern w:val="0"/>
          <w:sz w:val="24"/>
          <w:highlight w:val="none"/>
          <w:lang w:eastAsia="zh-CN"/>
        </w:rPr>
        <w:t>南昌市红谷滩区中洋大厦</w:t>
      </w:r>
      <w:r>
        <w:rPr>
          <w:rFonts w:hint="eastAsia" w:ascii="宋体" w:hAnsi="宋体" w:cs="宋体"/>
          <w:kern w:val="0"/>
          <w:sz w:val="24"/>
          <w:highlight w:val="none"/>
          <w:lang w:val="en-US" w:eastAsia="zh-CN"/>
        </w:rPr>
        <w:t>12楼</w:t>
      </w:r>
      <w:r>
        <w:rPr>
          <w:rFonts w:hint="eastAsia" w:ascii="宋体" w:hAnsi="宋体"/>
          <w:color w:val="000000"/>
          <w:sz w:val="24"/>
          <w:highlight w:val="none"/>
        </w:rPr>
        <w:t>。</w:t>
      </w:r>
    </w:p>
    <w:p>
      <w:pPr>
        <w:widowControl/>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六、联系方式：</w:t>
      </w:r>
    </w:p>
    <w:p>
      <w:pPr>
        <w:snapToGrid w:val="0"/>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比选人名称：</w:t>
      </w:r>
      <w:r>
        <w:rPr>
          <w:rFonts w:hint="eastAsia" w:ascii="宋体" w:hAnsi="宋体" w:cs="宋体"/>
          <w:kern w:val="0"/>
          <w:sz w:val="24"/>
          <w:highlight w:val="none"/>
          <w:lang w:eastAsia="zh-CN"/>
        </w:rPr>
        <w:t>南昌红投置业有限公司</w:t>
      </w:r>
    </w:p>
    <w:p>
      <w:pPr>
        <w:snapToGrid w:val="0"/>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比选人地址：</w:t>
      </w:r>
      <w:r>
        <w:rPr>
          <w:rFonts w:hint="eastAsia" w:ascii="宋体" w:hAnsi="宋体" w:cs="宋体"/>
          <w:kern w:val="0"/>
          <w:sz w:val="24"/>
          <w:highlight w:val="none"/>
          <w:lang w:eastAsia="zh-CN"/>
        </w:rPr>
        <w:t>江西省南昌市红谷滩区会展路545号</w:t>
      </w:r>
    </w:p>
    <w:p>
      <w:pPr>
        <w:snapToGrid w:val="0"/>
        <w:spacing w:line="360" w:lineRule="auto"/>
        <w:rPr>
          <w:rFonts w:hint="default" w:ascii="宋体" w:hAnsi="宋体" w:eastAsia="宋体"/>
          <w:sz w:val="24"/>
          <w:highlight w:val="none"/>
          <w:lang w:val="en-US" w:eastAsia="zh-CN"/>
        </w:rPr>
      </w:pPr>
      <w:r>
        <w:rPr>
          <w:rFonts w:hint="eastAsia" w:ascii="宋体" w:hAnsi="宋体" w:cs="宋体"/>
          <w:kern w:val="0"/>
          <w:sz w:val="24"/>
          <w:highlight w:val="none"/>
        </w:rPr>
        <w:t>联  系  人：</w:t>
      </w:r>
      <w:r>
        <w:rPr>
          <w:rFonts w:hint="eastAsia" w:ascii="宋体" w:hAnsi="宋体" w:cs="宋体"/>
          <w:kern w:val="0"/>
          <w:sz w:val="24"/>
          <w:highlight w:val="none"/>
          <w:lang w:eastAsia="zh-CN"/>
        </w:rPr>
        <w:t>吴女士</w:t>
      </w:r>
      <w:r>
        <w:rPr>
          <w:rFonts w:hint="eastAsia" w:ascii="宋体" w:hAnsi="宋体" w:cs="宋体"/>
          <w:kern w:val="0"/>
          <w:sz w:val="24"/>
          <w:highlight w:val="none"/>
        </w:rPr>
        <w:t xml:space="preserve">    电  话：</w:t>
      </w:r>
      <w:r>
        <w:rPr>
          <w:rFonts w:hint="eastAsia" w:ascii="宋体" w:hAnsi="宋体" w:cs="宋体"/>
          <w:kern w:val="0"/>
          <w:sz w:val="24"/>
          <w:highlight w:val="none"/>
          <w:lang w:val="en-US" w:eastAsia="zh-CN"/>
        </w:rPr>
        <w:t>15170456464</w:t>
      </w:r>
    </w:p>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sz w:val="24"/>
          <w:highlight w:val="none"/>
        </w:rPr>
        <w:t>招标代理机构名称：</w:t>
      </w:r>
      <w:r>
        <w:rPr>
          <w:rFonts w:hint="eastAsia" w:ascii="宋体" w:hAnsi="宋体"/>
          <w:sz w:val="24"/>
          <w:highlight w:val="none"/>
          <w:lang w:eastAsia="zh-CN"/>
        </w:rPr>
        <w:t>江西合安项目管理有限公司</w:t>
      </w:r>
      <w:r>
        <w:rPr>
          <w:rFonts w:hint="eastAsia" w:ascii="宋体" w:hAnsi="宋体"/>
          <w:sz w:val="24"/>
          <w:highlight w:val="none"/>
        </w:rPr>
        <w:t xml:space="preserve"> </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详细地址：</w:t>
      </w:r>
      <w:r>
        <w:rPr>
          <w:rFonts w:hint="eastAsia" w:ascii="宋体" w:hAnsi="宋体" w:eastAsia="宋体" w:cs="宋体"/>
          <w:sz w:val="24"/>
          <w:szCs w:val="24"/>
          <w:highlight w:val="none"/>
          <w:lang w:eastAsia="zh-CN"/>
        </w:rPr>
        <w:t>江西省南昌市西湖区沿江南大道1299号力高滨江国际花园1#写字楼-403室</w:t>
      </w:r>
      <w:r>
        <w:rPr>
          <w:rFonts w:hint="eastAsia" w:ascii="宋体" w:hAnsi="宋体"/>
          <w:sz w:val="24"/>
          <w:highlight w:val="none"/>
        </w:rPr>
        <w:t>联 系 人：</w:t>
      </w:r>
      <w:r>
        <w:rPr>
          <w:rFonts w:hint="eastAsia" w:ascii="宋体" w:hAnsi="宋体"/>
          <w:sz w:val="24"/>
          <w:highlight w:val="none"/>
          <w:lang w:eastAsia="zh-CN"/>
        </w:rPr>
        <w:t xml:space="preserve">邓定欢 </w:t>
      </w:r>
      <w:r>
        <w:rPr>
          <w:rFonts w:hint="eastAsia" w:ascii="宋体" w:hAnsi="宋体"/>
          <w:sz w:val="24"/>
          <w:highlight w:val="none"/>
        </w:rPr>
        <w:t xml:space="preserve">     电    话：</w:t>
      </w:r>
      <w:r>
        <w:rPr>
          <w:rFonts w:hint="eastAsia" w:ascii="宋体" w:hAnsi="宋体"/>
          <w:sz w:val="24"/>
          <w:highlight w:val="none"/>
          <w:lang w:eastAsia="zh-CN"/>
        </w:rPr>
        <w:t xml:space="preserve">13870677558 </w:t>
      </w:r>
    </w:p>
    <w:p>
      <w:pPr>
        <w:snapToGrid w:val="0"/>
        <w:spacing w:line="360" w:lineRule="auto"/>
        <w:rPr>
          <w:rFonts w:hint="eastAsia" w:ascii="宋体" w:hAnsi="宋体"/>
          <w:sz w:val="24"/>
          <w:highlight w:val="none"/>
        </w:rPr>
      </w:pPr>
      <w:r>
        <w:rPr>
          <w:rFonts w:hint="eastAsia" w:ascii="宋体" w:hAnsi="宋体"/>
          <w:sz w:val="24"/>
          <w:highlight w:val="none"/>
        </w:rPr>
        <w:t>邮    箱:</w:t>
      </w:r>
      <w:r>
        <w:rPr>
          <w:rFonts w:hint="eastAsia" w:ascii="宋体" w:hAnsi="宋体"/>
          <w:sz w:val="24"/>
          <w:highlight w:val="none"/>
          <w:lang w:eastAsia="zh-CN"/>
        </w:rPr>
        <w:t>2809681280@qq.com</w:t>
      </w:r>
      <w:r>
        <w:rPr>
          <w:rFonts w:hint="eastAsia" w:ascii="宋体" w:hAnsi="宋体"/>
          <w:sz w:val="24"/>
          <w:highlight w:val="none"/>
        </w:rPr>
        <w:t xml:space="preserve"> </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2"/>
        <w:numPr>
          <w:ilvl w:val="0"/>
          <w:numId w:val="2"/>
        </w:numPr>
        <w:spacing w:line="360" w:lineRule="auto"/>
        <w:jc w:val="center"/>
        <w:outlineLvl w:val="0"/>
        <w:rPr>
          <w:rStyle w:val="28"/>
          <w:rFonts w:hint="eastAsia" w:ascii="宋体" w:hAnsi="宋体" w:cs="Times New Roman"/>
          <w:b/>
          <w:sz w:val="31"/>
          <w:szCs w:val="31"/>
          <w:highlight w:val="none"/>
        </w:rPr>
      </w:pPr>
      <w:bookmarkStart w:id="2" w:name="_Toc31710"/>
      <w:bookmarkStart w:id="3" w:name="_Toc24573"/>
      <w:r>
        <w:rPr>
          <w:rStyle w:val="28"/>
          <w:rFonts w:hint="eastAsia" w:ascii="宋体" w:hAnsi="宋体" w:cs="Times New Roman"/>
          <w:b/>
          <w:sz w:val="31"/>
          <w:szCs w:val="31"/>
          <w:highlight w:val="none"/>
        </w:rPr>
        <w:t>参选人须知</w:t>
      </w:r>
      <w:bookmarkEnd w:id="2"/>
      <w:bookmarkEnd w:id="3"/>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0" w:type="dxa"/>
            <w:gridSpan w:val="2"/>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900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9000" w:type="dxa"/>
            <w:noWrap w:val="0"/>
            <w:vAlign w:val="center"/>
          </w:tcPr>
          <w:p>
            <w:pPr>
              <w:widowControl/>
              <w:tabs>
                <w:tab w:val="left" w:pos="0"/>
              </w:tabs>
              <w:snapToGrid w:val="0"/>
              <w:spacing w:line="336" w:lineRule="auto"/>
              <w:jc w:val="left"/>
              <w:rPr>
                <w:rFonts w:hint="eastAsia" w:ascii="新宋体" w:hAnsi="新宋体" w:eastAsia="宋体"/>
                <w:sz w:val="24"/>
                <w:highlight w:val="none"/>
                <w:lang w:eastAsia="zh-CN"/>
              </w:rPr>
            </w:pPr>
            <w:r>
              <w:rPr>
                <w:rFonts w:hint="eastAsia" w:ascii="宋体" w:hAnsi="宋体" w:cs="宋体"/>
                <w:kern w:val="0"/>
                <w:sz w:val="24"/>
                <w:highlight w:val="none"/>
              </w:rPr>
              <w:t>项目名称：</w:t>
            </w:r>
            <w:r>
              <w:rPr>
                <w:rFonts w:hint="eastAsia" w:ascii="新宋体" w:hAnsi="新宋体" w:eastAsia="新宋体"/>
                <w:sz w:val="24"/>
                <w:highlight w:val="none"/>
                <w:lang w:eastAsia="zh-CN"/>
              </w:rPr>
              <w:t>滨湖人文一期项目开荒保洁工程</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项目编号：</w:t>
            </w:r>
            <w:r>
              <w:rPr>
                <w:rFonts w:hint="eastAsia" w:ascii="宋体" w:hAnsi="宋体" w:eastAsia="新宋体"/>
                <w:sz w:val="24"/>
                <w:highlight w:val="none"/>
                <w:lang w:eastAsia="zh-CN"/>
              </w:rPr>
              <w:t>JXHA20240407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sz w:val="24"/>
                <w:highlight w:val="none"/>
              </w:rPr>
              <w:t>比选</w:t>
            </w:r>
            <w:r>
              <w:rPr>
                <w:rFonts w:hint="eastAsia" w:ascii="宋体" w:hAnsi="宋体" w:cs="宋体"/>
                <w:sz w:val="24"/>
                <w:highlight w:val="none"/>
              </w:rPr>
              <w:t>人名称：</w:t>
            </w:r>
            <w:r>
              <w:rPr>
                <w:rFonts w:hint="eastAsia" w:ascii="新宋体" w:hAnsi="新宋体" w:eastAsia="新宋体"/>
                <w:sz w:val="24"/>
                <w:highlight w:val="none"/>
                <w:lang w:val="zh-CN"/>
              </w:rPr>
              <w:t>南昌红投置业有限公司</w:t>
            </w:r>
            <w:r>
              <w:rPr>
                <w:rFonts w:hint="eastAsia" w:ascii="宋体" w:hAnsi="宋体" w:cs="宋体"/>
                <w:sz w:val="24"/>
                <w:highlight w:val="none"/>
              </w:rPr>
              <w:t xml:space="preserve"> </w:t>
            </w:r>
          </w:p>
          <w:p>
            <w:pPr>
              <w:widowControl/>
              <w:snapToGrid w:val="0"/>
              <w:spacing w:line="336" w:lineRule="auto"/>
              <w:jc w:val="left"/>
              <w:rPr>
                <w:rFonts w:hint="eastAsia" w:ascii="宋体" w:hAnsi="宋体" w:eastAsia="宋体" w:cs="宋体"/>
                <w:highlight w:val="none"/>
                <w:lang w:eastAsia="zh-CN"/>
              </w:rPr>
            </w:pPr>
            <w:r>
              <w:rPr>
                <w:rFonts w:hint="eastAsia" w:ascii="宋体" w:hAnsi="宋体"/>
                <w:sz w:val="24"/>
                <w:highlight w:val="none"/>
              </w:rPr>
              <w:t>比选</w:t>
            </w:r>
            <w:r>
              <w:rPr>
                <w:rFonts w:hint="eastAsia" w:ascii="宋体" w:hAnsi="宋体" w:cs="宋体"/>
                <w:sz w:val="24"/>
                <w:highlight w:val="none"/>
              </w:rPr>
              <w:t>人地址：</w:t>
            </w:r>
            <w:r>
              <w:rPr>
                <w:rFonts w:hint="eastAsia" w:ascii="宋体" w:hAnsi="宋体" w:cs="宋体"/>
                <w:kern w:val="0"/>
                <w:sz w:val="24"/>
                <w:highlight w:val="none"/>
                <w:lang w:eastAsia="zh-CN"/>
              </w:rPr>
              <w:t>江西省南昌市红谷滩区会展路545号</w:t>
            </w:r>
          </w:p>
          <w:p>
            <w:pPr>
              <w:widowControl/>
              <w:snapToGrid w:val="0"/>
              <w:spacing w:line="336" w:lineRule="auto"/>
              <w:jc w:val="left"/>
              <w:rPr>
                <w:rFonts w:hint="eastAsia" w:ascii="宋体" w:hAnsi="宋体" w:cs="宋体"/>
                <w:kern w:val="0"/>
                <w:sz w:val="24"/>
                <w:highlight w:val="none"/>
              </w:rPr>
            </w:pPr>
            <w:r>
              <w:rPr>
                <w:rFonts w:hint="eastAsia" w:ascii="宋体" w:hAnsi="宋体" w:cs="宋体"/>
                <w:kern w:val="0"/>
                <w:sz w:val="24"/>
                <w:highlight w:val="none"/>
              </w:rPr>
              <w:t>联  系  人：</w:t>
            </w:r>
            <w:r>
              <w:rPr>
                <w:rFonts w:hint="eastAsia" w:ascii="宋体" w:hAnsi="宋体" w:cs="宋体"/>
                <w:kern w:val="0"/>
                <w:sz w:val="24"/>
                <w:highlight w:val="none"/>
                <w:lang w:eastAsia="zh-CN"/>
              </w:rPr>
              <w:t>吴女士</w:t>
            </w:r>
            <w:r>
              <w:rPr>
                <w:rFonts w:hint="eastAsia" w:ascii="宋体" w:hAnsi="宋体" w:cs="宋体"/>
                <w:kern w:val="0"/>
                <w:sz w:val="24"/>
                <w:highlight w:val="none"/>
              </w:rPr>
              <w:t xml:space="preserve">        电  话：</w:t>
            </w:r>
            <w:r>
              <w:rPr>
                <w:rFonts w:hint="eastAsia" w:ascii="宋体" w:hAnsi="宋体" w:cs="宋体"/>
                <w:kern w:val="0"/>
                <w:sz w:val="24"/>
                <w:highlight w:val="none"/>
                <w:lang w:val="en-US" w:eastAsia="zh-CN"/>
              </w:rPr>
              <w:t>15170456464</w:t>
            </w:r>
            <w:r>
              <w:rPr>
                <w:rFonts w:hint="eastAsia" w:ascii="宋体" w:hAnsi="宋体" w:cs="宋体"/>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9000" w:type="dxa"/>
            <w:noWrap w:val="0"/>
            <w:vAlign w:val="center"/>
          </w:tcPr>
          <w:p>
            <w:pPr>
              <w:widowControl/>
              <w:tabs>
                <w:tab w:val="left" w:pos="0"/>
              </w:tabs>
              <w:snapToGrid w:val="0"/>
              <w:spacing w:line="336" w:lineRule="auto"/>
              <w:jc w:val="left"/>
              <w:rPr>
                <w:rFonts w:hint="eastAsia" w:ascii="宋体" w:hAnsi="宋体" w:cs="宋体"/>
                <w:kern w:val="0"/>
                <w:sz w:val="24"/>
                <w:highlight w:val="none"/>
              </w:rPr>
            </w:pPr>
            <w:r>
              <w:rPr>
                <w:rFonts w:hint="eastAsia" w:ascii="宋体" w:hAnsi="宋体" w:cs="宋体"/>
                <w:kern w:val="0"/>
                <w:sz w:val="24"/>
                <w:highlight w:val="none"/>
              </w:rPr>
              <w:t>招标代理机构：</w:t>
            </w:r>
            <w:r>
              <w:rPr>
                <w:rFonts w:hint="eastAsia" w:ascii="宋体" w:hAnsi="宋体" w:cs="宋体"/>
                <w:kern w:val="0"/>
                <w:sz w:val="24"/>
                <w:highlight w:val="none"/>
                <w:lang w:eastAsia="zh-CN"/>
              </w:rPr>
              <w:t>江西合安项目管理有限公司</w:t>
            </w:r>
          </w:p>
          <w:p>
            <w:pPr>
              <w:widowControl/>
              <w:tabs>
                <w:tab w:val="left" w:pos="0"/>
              </w:tabs>
              <w:snapToGrid w:val="0"/>
              <w:spacing w:line="336" w:lineRule="auto"/>
              <w:jc w:val="left"/>
              <w:rPr>
                <w:rFonts w:hint="eastAsia" w:ascii="宋体" w:hAnsi="宋体" w:eastAsia="宋体"/>
                <w:sz w:val="24"/>
                <w:highlight w:val="none"/>
                <w:lang w:eastAsia="zh-CN"/>
              </w:rPr>
            </w:pPr>
            <w:r>
              <w:rPr>
                <w:rFonts w:hint="eastAsia" w:ascii="宋体" w:hAnsi="宋体" w:cs="宋体"/>
                <w:kern w:val="0"/>
                <w:sz w:val="24"/>
                <w:highlight w:val="none"/>
              </w:rPr>
              <w:t xml:space="preserve">地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 址：</w:t>
            </w:r>
            <w:r>
              <w:rPr>
                <w:rFonts w:hint="eastAsia" w:ascii="宋体" w:hAnsi="宋体" w:eastAsia="宋体" w:cs="宋体"/>
                <w:sz w:val="24"/>
                <w:szCs w:val="24"/>
                <w:highlight w:val="none"/>
                <w:lang w:eastAsia="zh-CN"/>
              </w:rPr>
              <w:t>江西省南昌市西湖区沿江南大道1299号力高滨江国际花园1#写字楼-403室</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sz w:val="24"/>
                <w:highlight w:val="none"/>
              </w:rPr>
              <w:t xml:space="preserve">联 </w:t>
            </w:r>
            <w:r>
              <w:rPr>
                <w:rFonts w:hint="eastAsia" w:ascii="宋体" w:hAnsi="宋体"/>
                <w:sz w:val="24"/>
                <w:highlight w:val="none"/>
                <w:lang w:val="en-US" w:eastAsia="zh-CN"/>
              </w:rPr>
              <w:t xml:space="preserve">  </w:t>
            </w:r>
            <w:r>
              <w:rPr>
                <w:rFonts w:hint="eastAsia" w:ascii="宋体" w:hAnsi="宋体"/>
                <w:sz w:val="24"/>
                <w:highlight w:val="none"/>
              </w:rPr>
              <w:t>系</w:t>
            </w:r>
            <w:r>
              <w:rPr>
                <w:rFonts w:hint="eastAsia" w:ascii="宋体" w:hAnsi="宋体"/>
                <w:sz w:val="24"/>
                <w:highlight w:val="none"/>
                <w:lang w:val="en-US" w:eastAsia="zh-CN"/>
              </w:rPr>
              <w:t xml:space="preserve">  </w:t>
            </w:r>
            <w:r>
              <w:rPr>
                <w:rFonts w:hint="eastAsia" w:ascii="宋体" w:hAnsi="宋体"/>
                <w:sz w:val="24"/>
                <w:highlight w:val="none"/>
              </w:rPr>
              <w:t xml:space="preserve"> 人：</w:t>
            </w:r>
            <w:r>
              <w:rPr>
                <w:rFonts w:hint="eastAsia" w:ascii="宋体" w:hAnsi="宋体"/>
                <w:sz w:val="24"/>
                <w:highlight w:val="none"/>
                <w:lang w:eastAsia="zh-CN"/>
              </w:rPr>
              <w:t xml:space="preserve">邓定欢 </w:t>
            </w:r>
            <w:r>
              <w:rPr>
                <w:rFonts w:hint="eastAsia" w:ascii="宋体" w:hAnsi="宋体"/>
                <w:sz w:val="24"/>
                <w:highlight w:val="none"/>
              </w:rPr>
              <w:t xml:space="preserve">     电  话：</w:t>
            </w:r>
            <w:r>
              <w:rPr>
                <w:rFonts w:hint="eastAsia" w:ascii="宋体" w:hAnsi="宋体"/>
                <w:sz w:val="24"/>
                <w:highlight w:val="none"/>
                <w:lang w:eastAsia="zh-CN"/>
              </w:rPr>
              <w:t>13870677558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参选人资格要求：详见“第一章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招标范围：详见“第一章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9000" w:type="dxa"/>
            <w:noWrap w:val="0"/>
            <w:vAlign w:val="center"/>
          </w:tcPr>
          <w:p>
            <w:pPr>
              <w:snapToGrid w:val="0"/>
              <w:spacing w:line="336" w:lineRule="auto"/>
              <w:jc w:val="both"/>
              <w:rPr>
                <w:rFonts w:hint="eastAsia" w:ascii="宋体" w:hAnsi="宋体" w:eastAsia="宋体" w:cs="宋体"/>
                <w:sz w:val="24"/>
                <w:highlight w:val="none"/>
                <w:lang w:eastAsia="zh-CN"/>
              </w:rPr>
            </w:pPr>
            <w:r>
              <w:rPr>
                <w:rFonts w:hint="eastAsia" w:ascii="宋体" w:hAnsi="宋体" w:cs="宋体"/>
                <w:sz w:val="24"/>
                <w:highlight w:val="none"/>
              </w:rPr>
              <w:t>参选有效期：</w:t>
            </w:r>
            <w:r>
              <w:rPr>
                <w:rFonts w:hint="eastAsia" w:ascii="宋体" w:hAnsi="宋体"/>
                <w:sz w:val="24"/>
                <w:highlight w:val="none"/>
              </w:rPr>
              <w:t>自比选之日起90个日历日内保持有效</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lang w:eastAsia="zh-CN"/>
              </w:rPr>
              <w:t>工</w:t>
            </w:r>
            <w:r>
              <w:rPr>
                <w:rFonts w:hint="eastAsia" w:ascii="宋体" w:hAnsi="宋体" w:cs="宋体"/>
                <w:sz w:val="24"/>
                <w:highlight w:val="none"/>
              </w:rPr>
              <w:t>期：</w:t>
            </w:r>
            <w:r>
              <w:rPr>
                <w:rFonts w:hint="eastAsia" w:ascii="宋体" w:hAnsi="宋体" w:cs="宋体"/>
                <w:sz w:val="24"/>
                <w:highlight w:val="none"/>
                <w:lang w:val="en-US" w:eastAsia="zh-CN"/>
              </w:rPr>
              <w:t>15日历天，</w:t>
            </w:r>
            <w:r>
              <w:rPr>
                <w:rFonts w:hint="eastAsia" w:ascii="宋体" w:hAnsi="宋体" w:cs="宋体"/>
                <w:sz w:val="24"/>
                <w:highlight w:val="none"/>
                <w:lang w:eastAsia="zh-CN"/>
              </w:rPr>
              <w:t>具体开工时间以</w:t>
            </w:r>
            <w:r>
              <w:rPr>
                <w:rFonts w:hint="eastAsia" w:ascii="宋体" w:hAnsi="宋体" w:cs="宋体"/>
                <w:sz w:val="24"/>
                <w:highlight w:val="none"/>
                <w:lang w:val="en-US" w:eastAsia="zh-CN"/>
              </w:rPr>
              <w:t>比选人</w:t>
            </w:r>
            <w:r>
              <w:rPr>
                <w:rFonts w:hint="eastAsia" w:ascii="宋体" w:hAnsi="宋体" w:cs="宋体"/>
                <w:sz w:val="24"/>
                <w:highlight w:val="none"/>
                <w:lang w:eastAsia="zh-CN"/>
              </w:rPr>
              <w:t>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ind w:firstLine="240" w:firstLineChars="100"/>
              <w:rPr>
                <w:rFonts w:hint="eastAsia" w:ascii="宋体" w:hAnsi="宋体" w:cs="宋体"/>
                <w:sz w:val="24"/>
                <w:highlight w:val="none"/>
              </w:rPr>
            </w:pPr>
            <w:r>
              <w:rPr>
                <w:rFonts w:hint="eastAsia" w:ascii="宋体" w:hAnsi="宋体" w:cs="宋体"/>
                <w:sz w:val="24"/>
                <w:highlight w:val="none"/>
              </w:rPr>
              <w:t>8</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不统一组织现场踏勘</w:t>
            </w:r>
            <w:r>
              <w:rPr>
                <w:rFonts w:hint="eastAsia" w:ascii="宋体" w:hAnsi="宋体" w:cs="宋体"/>
                <w:sz w:val="24"/>
                <w:highlight w:val="none"/>
                <w:lang w:eastAsia="zh-CN"/>
              </w:rPr>
              <w:t>，</w:t>
            </w:r>
            <w:r>
              <w:rPr>
                <w:rFonts w:hint="eastAsia" w:ascii="宋体" w:hAnsi="宋体" w:cs="宋体"/>
                <w:sz w:val="24"/>
                <w:highlight w:val="none"/>
              </w:rPr>
              <w:t>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9000" w:type="dxa"/>
            <w:noWrap w:val="0"/>
            <w:vAlign w:val="top"/>
          </w:tcPr>
          <w:p>
            <w:pPr>
              <w:snapToGrid w:val="0"/>
              <w:spacing w:line="240" w:lineRule="auto"/>
              <w:jc w:val="both"/>
              <w:rPr>
                <w:rFonts w:hint="eastAsia"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"mailto:</w:instrText>
            </w:r>
            <w:r>
              <w:rPr>
                <w:rFonts w:hint="eastAsia" w:ascii="宋体" w:hAnsi="宋体" w:cs="宋体"/>
                <w:sz w:val="24"/>
                <w:highlight w:val="none"/>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cs="宋体"/>
                <w:sz w:val="24"/>
                <w:highlight w:val="none"/>
              </w:rPr>
              <w:instrText xml:space="preserve">" </w:instrText>
            </w:r>
            <w:r>
              <w:rPr>
                <w:rFonts w:ascii="宋体" w:hAnsi="宋体" w:cs="宋体"/>
                <w:sz w:val="24"/>
                <w:highlight w:val="none"/>
              </w:rPr>
              <w:fldChar w:fldCharType="separate"/>
            </w:r>
            <w:r>
              <w:rPr>
                <w:rFonts w:hint="eastAsia" w:ascii="宋体" w:hAnsi="宋体" w:cs="宋体"/>
                <w:sz w:val="24"/>
                <w:highlight w:val="none"/>
              </w:rPr>
              <w:t>不统一组织比选答疑会</w:t>
            </w:r>
            <w:r>
              <w:rPr>
                <w:rFonts w:hint="eastAsia" w:ascii="宋体" w:hAnsi="宋体" w:cs="宋体"/>
                <w:sz w:val="24"/>
                <w:highlight w:val="none"/>
                <w:lang w:eastAsia="zh-CN"/>
              </w:rPr>
              <w:t>，</w:t>
            </w:r>
            <w:r>
              <w:rPr>
                <w:rFonts w:hint="eastAsia" w:ascii="宋体" w:hAnsi="宋体" w:cs="宋体"/>
                <w:sz w:val="24"/>
                <w:highlight w:val="none"/>
              </w:rPr>
              <w:t>参选人自行下载比选文件后，对比选文件如有疑问，应在递交参选文件截止时间前</w:t>
            </w:r>
            <w:r>
              <w:rPr>
                <w:rFonts w:hint="eastAsia" w:ascii="宋体" w:hAnsi="宋体" w:cs="宋体"/>
                <w:sz w:val="24"/>
                <w:highlight w:val="none"/>
                <w:lang w:eastAsia="zh-CN"/>
              </w:rPr>
              <w:t>，</w:t>
            </w:r>
            <w:r>
              <w:rPr>
                <w:rFonts w:hint="eastAsia" w:ascii="宋体" w:hAnsi="宋体" w:cs="宋体"/>
                <w:sz w:val="24"/>
                <w:highlight w:val="none"/>
              </w:rPr>
              <w:t>将提疑文件（加盖单位公章）扫描件发送至</w:t>
            </w:r>
            <w:r>
              <w:rPr>
                <w:rFonts w:hint="eastAsia" w:ascii="宋体" w:hAnsi="宋体" w:cs="宋体"/>
                <w:sz w:val="24"/>
                <w:highlight w:val="none"/>
                <w:lang w:eastAsia="zh-CN"/>
              </w:rPr>
              <w:t>2809681280@qq.com</w:t>
            </w:r>
            <w:r>
              <w:rPr>
                <w:rFonts w:ascii="宋体" w:hAnsi="宋体" w:cs="宋体"/>
                <w:sz w:val="24"/>
                <w:highlight w:val="none"/>
              </w:rPr>
              <w:fldChar w:fldCharType="end"/>
            </w:r>
            <w:r>
              <w:rPr>
                <w:rFonts w:hint="eastAsia" w:ascii="宋体" w:hAnsi="宋体" w:cs="宋体"/>
                <w:sz w:val="24"/>
                <w:highlight w:val="none"/>
                <w:lang w:eastAsia="zh-CN"/>
              </w:rPr>
              <w:t>；</w:t>
            </w:r>
            <w:r>
              <w:rPr>
                <w:rFonts w:hint="eastAsia" w:ascii="宋体" w:hAnsi="宋体" w:cs="宋体"/>
                <w:sz w:val="24"/>
                <w:highlight w:val="none"/>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cs="宋体"/>
                <w:sz w:val="24"/>
                <w:highlight w:val="none"/>
                <w:lang w:eastAsia="zh-CN"/>
              </w:rPr>
              <w:t>；</w:t>
            </w:r>
            <w:r>
              <w:rPr>
                <w:rFonts w:hint="eastAsia" w:ascii="宋体" w:hAnsi="宋体" w:cs="宋体"/>
                <w:sz w:val="24"/>
                <w:highlight w:val="none"/>
              </w:rPr>
              <w:t>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ascii="宋体" w:hAnsi="宋体"/>
                <w:sz w:val="24"/>
                <w:highlight w:val="none"/>
              </w:rPr>
              <w:t>递交参选文件截止时间</w:t>
            </w:r>
            <w:r>
              <w:rPr>
                <w:rFonts w:hint="eastAsia"/>
                <w:sz w:val="24"/>
                <w:highlight w:val="none"/>
              </w:rPr>
              <w:t>：详见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sz w:val="24"/>
                <w:highlight w:val="none"/>
              </w:rPr>
              <w:t>比选时间及地点：详见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9000" w:type="dxa"/>
            <w:noWrap w:val="0"/>
            <w:vAlign w:val="center"/>
          </w:tcPr>
          <w:p>
            <w:pPr>
              <w:snapToGrid w:val="0"/>
              <w:spacing w:line="240" w:lineRule="auto"/>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szCs w:val="21"/>
                <w:highlight w:val="none"/>
              </w:rPr>
              <w:t>参选</w:t>
            </w:r>
            <w:r>
              <w:rPr>
                <w:rFonts w:hint="eastAsia" w:ascii="宋体" w:hAnsi="宋体" w:cs="宋体"/>
                <w:bCs/>
                <w:sz w:val="24"/>
                <w:highlight w:val="none"/>
              </w:rPr>
              <w:t>资格，并保留追究法律责任的权利</w:t>
            </w:r>
            <w:r>
              <w:rPr>
                <w:rFonts w:hint="eastAsia" w:ascii="宋体" w:hAnsi="宋体" w:cs="宋体"/>
                <w:bCs/>
                <w:sz w:val="24"/>
                <w:highlight w:val="none"/>
                <w:lang w:eastAsia="zh-CN"/>
              </w:rPr>
              <w:t>；</w:t>
            </w:r>
            <w:r>
              <w:rPr>
                <w:rFonts w:hint="eastAsia" w:ascii="宋体" w:hAnsi="宋体" w:cs="宋体"/>
                <w:bCs/>
                <w:sz w:val="24"/>
                <w:highlight w:val="none"/>
              </w:rPr>
              <w:t>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招标代理服务费：招标代理服务费由中选人交纳，中选人在领取中选通知书时，一次性向招标代理付清代理服务费。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400" w:lineRule="exact"/>
              <w:jc w:val="center"/>
              <w:rPr>
                <w:rFonts w:ascii="宋体" w:hAnsi="宋体" w:cs="宋体"/>
                <w:sz w:val="24"/>
                <w:highlight w:val="none"/>
              </w:rPr>
            </w:pPr>
            <w:r>
              <w:rPr>
                <w:rFonts w:hint="eastAsia" w:ascii="宋体" w:hAnsi="宋体" w:cs="宋体"/>
                <w:sz w:val="24"/>
                <w:highlight w:val="none"/>
              </w:rPr>
              <w:t>15</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参选文件份数：一正二副</w:t>
            </w:r>
          </w:p>
        </w:tc>
      </w:tr>
    </w:tbl>
    <w:p>
      <w:pPr>
        <w:jc w:val="center"/>
        <w:rPr>
          <w:rFonts w:hint="eastAsia"/>
          <w:b/>
          <w:bCs/>
          <w:sz w:val="32"/>
          <w:szCs w:val="40"/>
          <w:highlight w:val="none"/>
        </w:rPr>
      </w:pPr>
      <w:r>
        <w:rPr>
          <w:rFonts w:hint="eastAsia"/>
          <w:b/>
          <w:bCs/>
          <w:sz w:val="32"/>
          <w:szCs w:val="40"/>
          <w:highlight w:val="none"/>
        </w:rPr>
        <w:br w:type="page"/>
      </w:r>
      <w:r>
        <w:rPr>
          <w:rFonts w:hint="eastAsia"/>
          <w:b/>
          <w:bCs/>
          <w:sz w:val="32"/>
          <w:szCs w:val="40"/>
          <w:highlight w:val="none"/>
        </w:rPr>
        <w:t>参选人须知正文</w:t>
      </w:r>
    </w:p>
    <w:p>
      <w:pPr>
        <w:spacing w:line="360" w:lineRule="auto"/>
        <w:rPr>
          <w:rFonts w:hint="eastAsia" w:ascii="宋体" w:hAnsi="宋体"/>
          <w:b/>
          <w:bCs/>
          <w:sz w:val="24"/>
          <w:highlight w:val="none"/>
        </w:rPr>
      </w:pPr>
      <w:bookmarkStart w:id="4" w:name="_Toc17175"/>
      <w:bookmarkStart w:id="5" w:name="_Toc324678925"/>
      <w:bookmarkStart w:id="6" w:name="_Toc147282124"/>
      <w:bookmarkStart w:id="7" w:name="_Toc377982317"/>
      <w:bookmarkStart w:id="8" w:name="_Toc31761"/>
      <w:r>
        <w:rPr>
          <w:rFonts w:hint="eastAsia" w:ascii="宋体" w:hAnsi="宋体"/>
          <w:b/>
          <w:bCs/>
          <w:sz w:val="24"/>
          <w:highlight w:val="none"/>
        </w:rPr>
        <w:t>1. 适用范围</w:t>
      </w:r>
    </w:p>
    <w:p>
      <w:pPr>
        <w:spacing w:line="360" w:lineRule="auto"/>
        <w:rPr>
          <w:rFonts w:hint="eastAsia" w:ascii="宋体" w:hAnsi="宋体"/>
          <w:sz w:val="24"/>
          <w:highlight w:val="none"/>
        </w:rPr>
      </w:pPr>
      <w:r>
        <w:rPr>
          <w:rFonts w:ascii="宋体" w:hAnsi="宋体"/>
          <w:sz w:val="24"/>
          <w:highlight w:val="none"/>
        </w:rPr>
        <w:t xml:space="preserve">1.1 </w:t>
      </w:r>
      <w:r>
        <w:rPr>
          <w:rFonts w:hint="eastAsia" w:ascii="宋体" w:hAnsi="宋体"/>
          <w:sz w:val="24"/>
          <w:highlight w:val="none"/>
        </w:rPr>
        <w:t>本比选文件仅适用于本比选公告中所述工程、货物、服务的采购。</w:t>
      </w:r>
    </w:p>
    <w:p>
      <w:pPr>
        <w:spacing w:line="360" w:lineRule="auto"/>
        <w:rPr>
          <w:rFonts w:hint="eastAsia" w:ascii="宋体" w:hAnsi="宋体"/>
          <w:b/>
          <w:bCs/>
          <w:sz w:val="24"/>
          <w:highlight w:val="none"/>
        </w:rPr>
      </w:pPr>
      <w:r>
        <w:rPr>
          <w:rFonts w:hint="eastAsia" w:ascii="宋体" w:hAnsi="宋体"/>
          <w:b/>
          <w:bCs/>
          <w:sz w:val="24"/>
          <w:highlight w:val="none"/>
        </w:rPr>
        <w:t>2. 定义</w:t>
      </w:r>
    </w:p>
    <w:p>
      <w:pPr>
        <w:spacing w:line="360" w:lineRule="auto"/>
        <w:rPr>
          <w:rFonts w:hint="eastAsia" w:ascii="宋体" w:hAnsi="宋体"/>
          <w:sz w:val="24"/>
          <w:highlight w:val="none"/>
        </w:rPr>
      </w:pPr>
      <w:r>
        <w:rPr>
          <w:rFonts w:hint="eastAsia" w:ascii="宋体" w:hAnsi="宋体"/>
          <w:sz w:val="24"/>
          <w:highlight w:val="none"/>
        </w:rPr>
        <w:t>2.1 “比选人”是指提出比选项目的法人或其他组织。</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比选人名称：</w:t>
      </w:r>
      <w:r>
        <w:rPr>
          <w:rFonts w:hint="eastAsia" w:ascii="宋体" w:hAnsi="宋体"/>
          <w:b/>
          <w:bCs/>
          <w:sz w:val="24"/>
          <w:highlight w:val="none"/>
          <w:lang w:eastAsia="zh-CN"/>
        </w:rPr>
        <w:t>南昌红投置业有限公司</w:t>
      </w:r>
    </w:p>
    <w:p>
      <w:pPr>
        <w:spacing w:line="360" w:lineRule="auto"/>
        <w:rPr>
          <w:rFonts w:hint="eastAsia" w:ascii="宋体" w:hAnsi="宋体"/>
          <w:sz w:val="24"/>
          <w:highlight w:val="none"/>
        </w:rPr>
      </w:pPr>
      <w:r>
        <w:rPr>
          <w:rFonts w:hint="eastAsia" w:ascii="宋体" w:hAnsi="宋体"/>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招标代理机构名称：</w:t>
      </w:r>
      <w:r>
        <w:rPr>
          <w:rFonts w:hint="eastAsia" w:ascii="宋体" w:hAnsi="宋体"/>
          <w:b/>
          <w:bCs/>
          <w:sz w:val="24"/>
          <w:highlight w:val="none"/>
          <w:lang w:eastAsia="zh-CN"/>
        </w:rPr>
        <w:t>江西合安项目管理有限公司</w:t>
      </w:r>
    </w:p>
    <w:p>
      <w:pPr>
        <w:spacing w:line="360" w:lineRule="auto"/>
        <w:rPr>
          <w:rFonts w:hint="eastAsia" w:ascii="宋体" w:hAnsi="宋体"/>
          <w:sz w:val="24"/>
          <w:highlight w:val="none"/>
        </w:rPr>
      </w:pPr>
      <w:r>
        <w:rPr>
          <w:rFonts w:ascii="宋体" w:hAnsi="宋体"/>
          <w:sz w:val="24"/>
          <w:highlight w:val="none"/>
        </w:rPr>
        <w:t>2.</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“参选人”是指向比选人提交参选文件的</w:t>
      </w:r>
      <w:r>
        <w:rPr>
          <w:rFonts w:hint="eastAsia" w:ascii="宋体" w:hAnsi="宋体"/>
          <w:sz w:val="24"/>
          <w:highlight w:val="none"/>
          <w:lang w:eastAsia="zh-CN"/>
        </w:rPr>
        <w:t>参选人</w:t>
      </w:r>
      <w:r>
        <w:rPr>
          <w:rFonts w:hint="eastAsia" w:ascii="宋体" w:hAnsi="宋体"/>
          <w:sz w:val="24"/>
          <w:highlight w:val="none"/>
        </w:rPr>
        <w:t>。</w:t>
      </w:r>
    </w:p>
    <w:p>
      <w:pPr>
        <w:spacing w:line="360" w:lineRule="auto"/>
        <w:rPr>
          <w:rFonts w:hint="eastAsia" w:ascii="宋体" w:hAnsi="宋体"/>
          <w:sz w:val="24"/>
          <w:highlight w:val="none"/>
        </w:rPr>
      </w:pPr>
      <w:bookmarkStart w:id="9" w:name="_Toc202172745"/>
      <w:r>
        <w:rPr>
          <w:rFonts w:hint="eastAsia" w:ascii="宋体" w:hAnsi="宋体"/>
          <w:b/>
          <w:bCs/>
          <w:sz w:val="24"/>
          <w:highlight w:val="none"/>
        </w:rPr>
        <w:t>3.</w:t>
      </w:r>
      <w:bookmarkEnd w:id="9"/>
      <w:r>
        <w:rPr>
          <w:rFonts w:hint="eastAsia" w:ascii="宋体" w:hAnsi="宋体"/>
          <w:b/>
          <w:bCs/>
          <w:sz w:val="24"/>
          <w:highlight w:val="none"/>
        </w:rPr>
        <w:t xml:space="preserve"> 资金落实情况</w:t>
      </w:r>
      <w:r>
        <w:rPr>
          <w:rFonts w:hint="eastAsia" w:ascii="宋体" w:hAnsi="宋体"/>
          <w:sz w:val="24"/>
          <w:highlight w:val="none"/>
        </w:rPr>
        <w:t>：已落实。</w:t>
      </w:r>
    </w:p>
    <w:p>
      <w:pPr>
        <w:spacing w:line="360" w:lineRule="auto"/>
        <w:rPr>
          <w:rFonts w:hint="eastAsia" w:ascii="宋体" w:hAnsi="宋体"/>
          <w:b/>
          <w:bCs/>
          <w:sz w:val="24"/>
          <w:highlight w:val="none"/>
        </w:rPr>
      </w:pPr>
      <w:r>
        <w:rPr>
          <w:rFonts w:hint="eastAsia" w:ascii="宋体" w:hAnsi="宋体"/>
          <w:b/>
          <w:bCs/>
          <w:sz w:val="24"/>
          <w:highlight w:val="none"/>
        </w:rPr>
        <w:t>4．参选人资格条件：详见“第一章 比选公告”。</w:t>
      </w:r>
    </w:p>
    <w:p>
      <w:pPr>
        <w:spacing w:line="360" w:lineRule="auto"/>
        <w:rPr>
          <w:rFonts w:ascii="宋体" w:hAnsi="宋体"/>
          <w:b/>
          <w:bCs/>
          <w:sz w:val="24"/>
          <w:highlight w:val="none"/>
        </w:rPr>
      </w:pPr>
      <w:bookmarkStart w:id="10" w:name="_Toc202172746"/>
      <w:r>
        <w:rPr>
          <w:rFonts w:hint="eastAsia" w:ascii="宋体" w:hAnsi="宋体"/>
          <w:b/>
          <w:bCs/>
          <w:sz w:val="24"/>
          <w:highlight w:val="none"/>
        </w:rPr>
        <w:t>5. 参选费用</w:t>
      </w:r>
      <w:bookmarkEnd w:id="10"/>
    </w:p>
    <w:p>
      <w:pPr>
        <w:spacing w:line="360" w:lineRule="auto"/>
        <w:rPr>
          <w:rFonts w:hint="eastAsia" w:ascii="宋体" w:hAnsi="宋体"/>
          <w:sz w:val="24"/>
          <w:highlight w:val="none"/>
        </w:rPr>
      </w:pP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rPr>
          <w:rFonts w:hint="eastAsia" w:ascii="宋体" w:hAnsi="宋体"/>
          <w:b/>
          <w:bCs/>
          <w:sz w:val="24"/>
          <w:highlight w:val="none"/>
        </w:rPr>
      </w:pPr>
      <w:bookmarkStart w:id="11" w:name="_Toc202172747"/>
      <w:r>
        <w:rPr>
          <w:rFonts w:hint="eastAsia" w:ascii="宋体" w:hAnsi="宋体"/>
          <w:b/>
          <w:bCs/>
          <w:sz w:val="24"/>
          <w:highlight w:val="none"/>
        </w:rPr>
        <w:t>6. 参选人代表</w:t>
      </w:r>
      <w:bookmarkEnd w:id="11"/>
      <w:r>
        <w:rPr>
          <w:rFonts w:hint="eastAsia" w:ascii="宋体" w:hAnsi="宋体"/>
          <w:b/>
          <w:bCs/>
          <w:sz w:val="24"/>
          <w:highlight w:val="none"/>
        </w:rPr>
        <w:t xml:space="preserve"> </w:t>
      </w:r>
    </w:p>
    <w:p>
      <w:pPr>
        <w:spacing w:line="360" w:lineRule="auto"/>
        <w:rPr>
          <w:rFonts w:hint="eastAsia" w:ascii="宋体" w:hAnsi="宋体"/>
          <w:sz w:val="24"/>
          <w:highlight w:val="none"/>
        </w:rPr>
      </w:pPr>
      <w:r>
        <w:rPr>
          <w:rFonts w:hint="eastAsia" w:ascii="宋体" w:hAnsi="宋体"/>
          <w:sz w:val="24"/>
          <w:highlight w:val="none"/>
        </w:rPr>
        <w:t>6</w:t>
      </w:r>
      <w:r>
        <w:rPr>
          <w:rFonts w:ascii="宋体" w:hAnsi="宋体"/>
          <w:sz w:val="24"/>
          <w:highlight w:val="none"/>
        </w:rPr>
        <w:t xml:space="preserve">.1 </w:t>
      </w:r>
      <w:r>
        <w:rPr>
          <w:rFonts w:hint="eastAsia" w:ascii="宋体" w:hAnsi="宋体"/>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sz w:val="24"/>
          <w:highlight w:val="none"/>
        </w:rPr>
      </w:pPr>
      <w:bookmarkStart w:id="12" w:name="_Toc202172748"/>
    </w:p>
    <w:p>
      <w:pPr>
        <w:spacing w:line="360" w:lineRule="auto"/>
        <w:jc w:val="center"/>
        <w:rPr>
          <w:rFonts w:hint="eastAsia" w:ascii="宋体" w:hAnsi="宋体"/>
          <w:b/>
          <w:bCs/>
          <w:sz w:val="24"/>
          <w:highlight w:val="none"/>
        </w:rPr>
      </w:pPr>
      <w:r>
        <w:rPr>
          <w:rFonts w:hint="eastAsia" w:ascii="宋体" w:hAnsi="宋体"/>
          <w:b/>
          <w:bCs/>
          <w:sz w:val="24"/>
          <w:highlight w:val="none"/>
        </w:rPr>
        <w:t>二、</w:t>
      </w:r>
      <w:r>
        <w:rPr>
          <w:rFonts w:ascii="宋体" w:hAnsi="宋体"/>
          <w:b/>
          <w:bCs/>
          <w:sz w:val="24"/>
          <w:highlight w:val="none"/>
        </w:rPr>
        <w:t xml:space="preserve"> </w:t>
      </w:r>
      <w:bookmarkEnd w:id="12"/>
      <w:r>
        <w:rPr>
          <w:rFonts w:hint="eastAsia" w:ascii="宋体" w:hAnsi="宋体"/>
          <w:b/>
          <w:bCs/>
          <w:sz w:val="24"/>
          <w:highlight w:val="none"/>
        </w:rPr>
        <w:t>比选文件</w:t>
      </w:r>
    </w:p>
    <w:p>
      <w:pPr>
        <w:spacing w:line="360" w:lineRule="auto"/>
        <w:rPr>
          <w:rFonts w:ascii="宋体" w:hAnsi="宋体"/>
          <w:b/>
          <w:bCs/>
          <w:sz w:val="24"/>
          <w:highlight w:val="none"/>
        </w:rPr>
      </w:pPr>
      <w:bookmarkStart w:id="13" w:name="_Toc202172749"/>
      <w:r>
        <w:rPr>
          <w:rFonts w:hint="eastAsia" w:ascii="宋体" w:hAnsi="宋体"/>
          <w:b/>
          <w:bCs/>
          <w:sz w:val="24"/>
          <w:highlight w:val="none"/>
        </w:rPr>
        <w:t>7. 比选文件构成</w:t>
      </w:r>
      <w:bookmarkEnd w:id="13"/>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要求提供的工程、货物、服务有关的比选过程和合同条款在比选文件中均有说明。比选文件共六章，各章的内容如下：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pPr>
        <w:spacing w:line="360" w:lineRule="auto"/>
        <w:ind w:firstLine="480" w:firstLineChars="200"/>
        <w:rPr>
          <w:rFonts w:hint="eastAsia" w:ascii="宋体" w:hAnsi="宋体"/>
          <w:sz w:val="24"/>
          <w:highlight w:val="none"/>
        </w:rPr>
      </w:pPr>
      <w:r>
        <w:rPr>
          <w:rFonts w:hint="eastAsia" w:ascii="宋体" w:hAnsi="宋体"/>
          <w:sz w:val="24"/>
          <w:highlight w:val="none"/>
        </w:rPr>
        <w:t>第二章 参选人须知</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第三章 评审办法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项目需求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 xml:space="preserve">第五章 </w:t>
      </w:r>
      <w:r>
        <w:rPr>
          <w:rFonts w:hint="eastAsia" w:ascii="宋体" w:hAnsi="宋体"/>
          <w:sz w:val="24"/>
          <w:highlight w:val="none"/>
          <w:lang w:eastAsia="zh-CN"/>
        </w:rPr>
        <w:t>合同基本条款</w:t>
      </w:r>
    </w:p>
    <w:p>
      <w:pPr>
        <w:spacing w:line="360" w:lineRule="auto"/>
        <w:ind w:firstLine="480" w:firstLineChars="200"/>
        <w:rPr>
          <w:rFonts w:hint="eastAsia" w:ascii="宋体" w:hAnsi="宋体"/>
          <w:sz w:val="24"/>
          <w:highlight w:val="none"/>
        </w:rPr>
      </w:pPr>
      <w:r>
        <w:rPr>
          <w:rFonts w:hint="eastAsia" w:ascii="宋体" w:hAnsi="宋体"/>
          <w:sz w:val="24"/>
          <w:highlight w:val="none"/>
        </w:rPr>
        <w:t>第六章 参选文件格式</w:t>
      </w:r>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rPr>
          <w:rFonts w:hint="eastAsia" w:ascii="宋体" w:hAnsi="宋体"/>
          <w:b/>
          <w:bCs/>
          <w:sz w:val="24"/>
          <w:highlight w:val="none"/>
        </w:rPr>
      </w:pPr>
      <w:bookmarkStart w:id="14" w:name="_Toc202172750"/>
      <w:r>
        <w:rPr>
          <w:rFonts w:hint="eastAsia" w:ascii="宋体" w:hAnsi="宋体"/>
          <w:b/>
          <w:bCs/>
          <w:sz w:val="24"/>
          <w:highlight w:val="none"/>
        </w:rPr>
        <w:t>8. 比选文件的</w:t>
      </w:r>
      <w:bookmarkEnd w:id="14"/>
      <w:r>
        <w:rPr>
          <w:rFonts w:hint="eastAsia" w:ascii="宋体" w:hAnsi="宋体"/>
          <w:b/>
          <w:bCs/>
          <w:sz w:val="24"/>
          <w:highlight w:val="none"/>
        </w:rPr>
        <w:t>答疑</w:t>
      </w:r>
    </w:p>
    <w:p>
      <w:pPr>
        <w:spacing w:line="360" w:lineRule="auto"/>
        <w:rPr>
          <w:rFonts w:hint="eastAsia" w:ascii="宋体" w:hAnsi="宋体" w:eastAsia="宋体"/>
          <w:sz w:val="24"/>
          <w:highlight w:val="none"/>
          <w:lang w:eastAsia="zh-CN"/>
        </w:rPr>
      </w:pPr>
      <w:r>
        <w:rPr>
          <w:rFonts w:hint="eastAsia" w:ascii="宋体" w:hAnsi="宋体"/>
          <w:sz w:val="24"/>
          <w:highlight w:val="none"/>
        </w:rPr>
        <w:t>8</w:t>
      </w:r>
      <w:r>
        <w:rPr>
          <w:rFonts w:ascii="宋体" w:hAnsi="宋体"/>
          <w:sz w:val="24"/>
          <w:highlight w:val="none"/>
        </w:rPr>
        <w:t>.1</w:t>
      </w:r>
      <w:r>
        <w:rPr>
          <w:rFonts w:hint="eastAsia"/>
          <w:sz w:val="24"/>
          <w:highlight w:val="none"/>
        </w:rPr>
        <w:t>不统一组织比选答疑会。参选人自行下载比选文件后，对比选文件如有疑问，应在递交参选文件截止时间前，将提疑文件（加盖单位公章）扫描件发送至指定电子邮箱</w:t>
      </w:r>
      <w:r>
        <w:rPr>
          <w:rFonts w:hint="eastAsia"/>
          <w:sz w:val="24"/>
          <w:highlight w:val="none"/>
          <w:lang w:eastAsia="zh-CN"/>
        </w:rPr>
        <w:t>；</w:t>
      </w:r>
      <w:r>
        <w:rPr>
          <w:rFonts w:hint="eastAsia" w:ascii="宋体" w:hAnsi="宋体"/>
          <w:sz w:val="24"/>
          <w:highlight w:val="none"/>
        </w:rPr>
        <w:t>比选人（或招标代理机构）收到</w:t>
      </w:r>
      <w:r>
        <w:rPr>
          <w:rFonts w:hint="eastAsia"/>
          <w:sz w:val="24"/>
          <w:highlight w:val="none"/>
        </w:rPr>
        <w:t>提疑文件</w:t>
      </w:r>
      <w:r>
        <w:rPr>
          <w:rFonts w:hint="eastAsia" w:ascii="宋体" w:hAnsi="宋体"/>
          <w:sz w:val="24"/>
          <w:highlight w:val="none"/>
        </w:rPr>
        <w:t>后及时作出答复，答复中不标明问题的来源</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8.2 比选文件的答疑将以书面形式发布在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，比选文件的答疑作为比选文件的组成部分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8</w:t>
      </w:r>
      <w:r>
        <w:rPr>
          <w:rFonts w:ascii="宋体" w:hAnsi="宋体"/>
          <w:sz w:val="24"/>
          <w:highlight w:val="none"/>
        </w:rPr>
        <w:t xml:space="preserve">.3 </w:t>
      </w:r>
      <w:r>
        <w:rPr>
          <w:rFonts w:hint="eastAsia" w:ascii="宋体" w:hAnsi="宋体"/>
          <w:sz w:val="24"/>
          <w:highlight w:val="none"/>
        </w:rPr>
        <w:t>为使参选人准备参选时有充分时间对比选文件的答疑部分进行研究，比选人有权推迟递交参选文件截止时间。</w:t>
      </w:r>
    </w:p>
    <w:p>
      <w:pPr>
        <w:spacing w:line="360" w:lineRule="auto"/>
        <w:rPr>
          <w:rFonts w:hint="eastAsia" w:ascii="宋体" w:hAnsi="宋体"/>
          <w:b/>
          <w:bCs/>
          <w:sz w:val="24"/>
          <w:highlight w:val="none"/>
        </w:rPr>
      </w:pPr>
      <w:bookmarkStart w:id="15" w:name="_Toc202172751"/>
      <w:r>
        <w:rPr>
          <w:rFonts w:hint="eastAsia" w:ascii="宋体" w:hAnsi="宋体"/>
          <w:b/>
          <w:bCs/>
          <w:sz w:val="24"/>
          <w:highlight w:val="none"/>
        </w:rPr>
        <w:t>9. 比选文件的修改</w:t>
      </w:r>
      <w:bookmarkEnd w:id="15"/>
    </w:p>
    <w:p>
      <w:pPr>
        <w:spacing w:line="360" w:lineRule="auto"/>
        <w:rPr>
          <w:rFonts w:hint="eastAsia" w:ascii="宋体" w:hAnsi="宋体" w:eastAsia="宋体"/>
          <w:sz w:val="24"/>
          <w:highlight w:val="none"/>
          <w:lang w:eastAsia="zh-CN"/>
        </w:rPr>
      </w:pP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递交参选文件截止时间前的任何时候，无论出于何种原因，比选人均可对比选文件进行修改</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9.2 比选文件的修改将以书面形式发布在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，比选文件的修改作为比选文件的组成部分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9</w:t>
      </w:r>
      <w:r>
        <w:rPr>
          <w:rFonts w:ascii="宋体" w:hAnsi="宋体"/>
          <w:sz w:val="24"/>
          <w:highlight w:val="none"/>
        </w:rPr>
        <w:t xml:space="preserve">.3 </w:t>
      </w:r>
      <w:r>
        <w:rPr>
          <w:rFonts w:hint="eastAsia" w:ascii="宋体" w:hAnsi="宋体"/>
          <w:sz w:val="24"/>
          <w:highlight w:val="none"/>
        </w:rPr>
        <w:t>为使参选人准备参选时有充分时间对比选文件的修改部分进行研究，比选人有权推迟递交参选文件截止时间。</w:t>
      </w:r>
    </w:p>
    <w:p>
      <w:pPr>
        <w:pStyle w:val="2"/>
        <w:spacing w:line="360" w:lineRule="auto"/>
        <w:rPr>
          <w:highlight w:val="none"/>
        </w:rPr>
      </w:pPr>
    </w:p>
    <w:p>
      <w:pPr>
        <w:spacing w:line="360" w:lineRule="auto"/>
        <w:jc w:val="center"/>
        <w:rPr>
          <w:rFonts w:hint="eastAsia" w:ascii="宋体" w:hAnsi="宋体"/>
          <w:b/>
          <w:bCs/>
          <w:sz w:val="24"/>
          <w:highlight w:val="none"/>
        </w:rPr>
      </w:pPr>
      <w:bookmarkStart w:id="16" w:name="_Toc202172752"/>
      <w:r>
        <w:rPr>
          <w:rFonts w:hint="eastAsia" w:ascii="宋体" w:hAnsi="宋体"/>
          <w:b/>
          <w:bCs/>
          <w:sz w:val="24"/>
          <w:highlight w:val="none"/>
        </w:rPr>
        <w:t>三、</w:t>
      </w:r>
      <w:r>
        <w:rPr>
          <w:rFonts w:ascii="宋体" w:hAnsi="宋体"/>
          <w:b/>
          <w:bCs/>
          <w:sz w:val="24"/>
          <w:highlight w:val="none"/>
        </w:rPr>
        <w:t xml:space="preserve"> </w:t>
      </w:r>
      <w:r>
        <w:rPr>
          <w:rFonts w:hint="eastAsia" w:ascii="宋体" w:hAnsi="宋体"/>
          <w:b/>
          <w:bCs/>
          <w:sz w:val="24"/>
          <w:highlight w:val="none"/>
        </w:rPr>
        <w:t>参选文件的编制</w:t>
      </w:r>
      <w:bookmarkEnd w:id="16"/>
    </w:p>
    <w:p>
      <w:pPr>
        <w:spacing w:line="360" w:lineRule="auto"/>
        <w:rPr>
          <w:rFonts w:hint="eastAsia" w:ascii="宋体" w:hAnsi="宋体"/>
          <w:b/>
          <w:bCs/>
          <w:sz w:val="24"/>
          <w:highlight w:val="none"/>
        </w:rPr>
      </w:pPr>
      <w:bookmarkStart w:id="17" w:name="_Toc202172753"/>
      <w:r>
        <w:rPr>
          <w:rFonts w:hint="eastAsia" w:ascii="宋体" w:hAnsi="宋体"/>
          <w:b/>
          <w:bCs/>
          <w:sz w:val="24"/>
          <w:highlight w:val="none"/>
        </w:rPr>
        <w:t>10. 提示</w:t>
      </w:r>
      <w:bookmarkEnd w:id="17"/>
    </w:p>
    <w:p>
      <w:pPr>
        <w:snapToGrid w:val="0"/>
        <w:spacing w:line="360" w:lineRule="auto"/>
        <w:rPr>
          <w:rFonts w:ascii="宋体" w:hAnsi="宋体"/>
          <w:sz w:val="24"/>
          <w:highlight w:val="none"/>
        </w:rPr>
      </w:pPr>
      <w:r>
        <w:rPr>
          <w:rFonts w:hint="eastAsia" w:ascii="宋体" w:hAnsi="宋体"/>
          <w:sz w:val="24"/>
          <w:highlight w:val="none"/>
        </w:rPr>
        <w:t>10</w:t>
      </w:r>
      <w:r>
        <w:rPr>
          <w:rFonts w:ascii="宋体" w:hAnsi="宋体"/>
          <w:sz w:val="24"/>
          <w:highlight w:val="none"/>
        </w:rPr>
        <w:t xml:space="preserve">.1 </w:t>
      </w:r>
      <w:r>
        <w:rPr>
          <w:rFonts w:hint="eastAsia" w:ascii="宋体" w:hAnsi="宋体"/>
          <w:sz w:val="24"/>
          <w:highlight w:val="none"/>
        </w:rPr>
        <w:t>参选人应认真阅读比选文件的全部内容，不按比选文件要求提供的参选文件和资料，可能导致其参选作无效参选处理</w:t>
      </w:r>
      <w:r>
        <w:rPr>
          <w:rFonts w:hint="eastAsia" w:ascii="宋体" w:hAnsi="宋体"/>
          <w:sz w:val="24"/>
          <w:highlight w:val="none"/>
          <w:lang w:eastAsia="zh-CN"/>
        </w:rPr>
        <w:t>；</w:t>
      </w:r>
      <w:r>
        <w:rPr>
          <w:rFonts w:hint="eastAsia" w:ascii="宋体" w:hAnsi="宋体"/>
          <w:sz w:val="24"/>
          <w:highlight w:val="none"/>
        </w:rPr>
        <w:t>参选人应尽可能提供满足或优于比选文件要求的相关材料及优惠措施，以便比选人选择最优的</w:t>
      </w:r>
      <w:r>
        <w:rPr>
          <w:rFonts w:hint="eastAsia" w:ascii="宋体" w:hAnsi="宋体"/>
          <w:sz w:val="24"/>
          <w:highlight w:val="none"/>
          <w:lang w:eastAsia="zh-CN"/>
        </w:rPr>
        <w:t>参选人</w:t>
      </w:r>
      <w:r>
        <w:rPr>
          <w:rFonts w:hint="eastAsia" w:ascii="宋体" w:hAnsi="宋体"/>
          <w:sz w:val="24"/>
          <w:highlight w:val="none"/>
        </w:rPr>
        <w:t>。</w:t>
      </w:r>
    </w:p>
    <w:p>
      <w:pPr>
        <w:snapToGrid w:val="0"/>
        <w:spacing w:line="360" w:lineRule="auto"/>
        <w:rPr>
          <w:rFonts w:ascii="宋体" w:hAnsi="宋体"/>
          <w:b/>
          <w:bCs/>
          <w:sz w:val="24"/>
          <w:highlight w:val="none"/>
        </w:rPr>
      </w:pPr>
      <w:bookmarkStart w:id="18" w:name="_Toc202172754"/>
      <w:r>
        <w:rPr>
          <w:rFonts w:hint="eastAsia" w:ascii="宋体" w:hAnsi="宋体"/>
          <w:b/>
          <w:bCs/>
          <w:sz w:val="24"/>
          <w:highlight w:val="none"/>
        </w:rPr>
        <w:t>11. 参选文件计量单位</w:t>
      </w:r>
      <w:bookmarkEnd w:id="18"/>
      <w:r>
        <w:rPr>
          <w:rFonts w:ascii="宋体" w:hAnsi="宋体"/>
          <w:b/>
          <w:bCs/>
          <w:sz w:val="24"/>
          <w:highlight w:val="none"/>
        </w:rPr>
        <w:tab/>
      </w:r>
    </w:p>
    <w:p>
      <w:pPr>
        <w:snapToGrid w:val="0"/>
        <w:spacing w:line="360" w:lineRule="auto"/>
        <w:rPr>
          <w:rFonts w:ascii="宋体" w:hAnsi="宋体"/>
          <w:sz w:val="24"/>
          <w:highlight w:val="none"/>
        </w:rPr>
      </w:pPr>
      <w:r>
        <w:rPr>
          <w:rFonts w:hint="eastAsia" w:ascii="宋体" w:hAnsi="宋体"/>
          <w:sz w:val="24"/>
          <w:highlight w:val="none"/>
        </w:rPr>
        <w:t>11.1参选文件中所使用的计量单位，除比选文件中有特殊要求外，应采用国家法定计量单位。</w:t>
      </w:r>
    </w:p>
    <w:p>
      <w:pPr>
        <w:snapToGrid w:val="0"/>
        <w:spacing w:line="480" w:lineRule="exact"/>
        <w:rPr>
          <w:rFonts w:ascii="宋体" w:hAnsi="宋体"/>
          <w:b/>
          <w:bCs/>
          <w:sz w:val="24"/>
          <w:highlight w:val="none"/>
        </w:rPr>
      </w:pPr>
      <w:bookmarkStart w:id="19" w:name="_Toc202172755"/>
      <w:r>
        <w:rPr>
          <w:rFonts w:hint="eastAsia" w:ascii="宋体" w:hAnsi="宋体"/>
          <w:b/>
          <w:bCs/>
          <w:sz w:val="24"/>
          <w:highlight w:val="none"/>
        </w:rPr>
        <w:t>12. 参选文件的构成</w:t>
      </w:r>
      <w:bookmarkEnd w:id="19"/>
    </w:p>
    <w:p>
      <w:pPr>
        <w:snapToGrid w:val="0"/>
        <w:spacing w:line="480" w:lineRule="exact"/>
        <w:ind w:left="567" w:hanging="567"/>
        <w:rPr>
          <w:rFonts w:hint="eastAsia" w:ascii="宋体" w:hAnsi="宋体" w:cs="宋体"/>
          <w:bCs/>
          <w:sz w:val="24"/>
          <w:highlight w:val="none"/>
        </w:rPr>
      </w:pPr>
      <w:bookmarkStart w:id="20" w:name="_Toc202172756"/>
      <w:r>
        <w:rPr>
          <w:rFonts w:hint="eastAsia"/>
          <w:sz w:val="24"/>
          <w:highlight w:val="none"/>
        </w:rPr>
        <w:t>12.1　参选文件由下列部分构成：</w:t>
      </w:r>
    </w:p>
    <w:p>
      <w:pPr>
        <w:spacing w:line="440" w:lineRule="exact"/>
        <w:ind w:firstLine="480"/>
        <w:rPr>
          <w:rFonts w:hint="eastAsia" w:ascii="宋体" w:hAnsi="宋体" w:cs="宋体"/>
          <w:sz w:val="24"/>
          <w:highlight w:val="none"/>
        </w:rPr>
      </w:pPr>
      <w:r>
        <w:rPr>
          <w:rFonts w:hint="eastAsia" w:ascii="宋体" w:hAnsi="宋体" w:cs="宋体"/>
          <w:sz w:val="24"/>
          <w:highlight w:val="none"/>
        </w:rPr>
        <w:t>（1）投标书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（2）法定代表人资格证明书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（3）法定代表人授权委托书</w:t>
      </w:r>
    </w:p>
    <w:p>
      <w:pPr>
        <w:spacing w:line="440" w:lineRule="exact"/>
        <w:ind w:firstLine="480"/>
        <w:rPr>
          <w:rFonts w:ascii="宋体" w:hAnsi="宋体" w:cs="宋体"/>
          <w:sz w:val="24"/>
          <w:highlight w:val="none"/>
        </w:rPr>
      </w:pPr>
      <w:r>
        <w:rPr>
          <w:rFonts w:hint="eastAsia" w:ascii="宋体" w:hAnsi="宋体" w:cs="宋体"/>
          <w:sz w:val="24"/>
          <w:highlight w:val="none"/>
        </w:rPr>
        <w:t>（4）开标一览表及参选报价明细表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（5）参选人的资格声明</w:t>
      </w:r>
    </w:p>
    <w:p>
      <w:pPr>
        <w:spacing w:line="440" w:lineRule="exact"/>
        <w:ind w:firstLine="480"/>
        <w:rPr>
          <w:rFonts w:hint="eastAsia" w:ascii="宋体" w:hAnsi="宋体" w:cs="宋体"/>
          <w:sz w:val="24"/>
          <w:highlight w:val="none"/>
        </w:rPr>
      </w:pPr>
      <w:r>
        <w:rPr>
          <w:rFonts w:hint="eastAsia" w:ascii="宋体" w:hAnsi="宋体" w:cs="宋体"/>
          <w:sz w:val="24"/>
          <w:highlight w:val="none"/>
        </w:rPr>
        <w:t>（6）资格证明文件</w:t>
      </w:r>
    </w:p>
    <w:p>
      <w:pPr>
        <w:spacing w:line="440" w:lineRule="exact"/>
        <w:ind w:firstLine="480"/>
        <w:rPr>
          <w:rFonts w:hint="eastAsia" w:ascii="宋体" w:hAnsi="宋体" w:cs="宋体"/>
          <w:sz w:val="24"/>
          <w:highlight w:val="none"/>
        </w:rPr>
      </w:pPr>
      <w:r>
        <w:rPr>
          <w:rFonts w:hint="eastAsia" w:ascii="宋体" w:hAnsi="宋体" w:cs="宋体"/>
          <w:sz w:val="24"/>
          <w:highlight w:val="none"/>
        </w:rPr>
        <w:t>（7）商务响应、偏离说明表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（8）技术响应、偏离说明表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（9）参选单位企业概况</w:t>
      </w:r>
    </w:p>
    <w:p>
      <w:pPr>
        <w:spacing w:line="440" w:lineRule="exact"/>
        <w:ind w:firstLine="480"/>
        <w:rPr>
          <w:rFonts w:hint="eastAsia" w:ascii="宋体" w:hAnsi="宋体" w:cs="宋体"/>
          <w:sz w:val="24"/>
          <w:highlight w:val="none"/>
        </w:rPr>
      </w:pPr>
      <w:r>
        <w:rPr>
          <w:rFonts w:hint="eastAsia" w:ascii="宋体" w:hAnsi="宋体" w:cs="宋体"/>
          <w:sz w:val="24"/>
          <w:highlight w:val="none"/>
        </w:rPr>
        <w:t>（10）企业业绩</w:t>
      </w:r>
    </w:p>
    <w:p>
      <w:pPr>
        <w:spacing w:line="440" w:lineRule="exact"/>
        <w:ind w:firstLine="480"/>
        <w:rPr>
          <w:rFonts w:hint="eastAsia" w:ascii="宋体" w:hAnsi="宋体" w:cs="宋体"/>
          <w:sz w:val="24"/>
          <w:highlight w:val="none"/>
        </w:rPr>
      </w:pPr>
      <w:r>
        <w:rPr>
          <w:rFonts w:hint="eastAsia" w:ascii="宋体" w:hAnsi="宋体" w:cs="宋体"/>
          <w:sz w:val="24"/>
          <w:highlight w:val="none"/>
        </w:rPr>
        <w:t>（11）项目负责人简历表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（12）拟派本项目的其它人员资历</w:t>
      </w:r>
    </w:p>
    <w:p>
      <w:pPr>
        <w:spacing w:line="440" w:lineRule="exact"/>
        <w:ind w:firstLine="480"/>
        <w:rPr>
          <w:rFonts w:hint="eastAsia" w:ascii="宋体" w:hAnsi="宋体" w:cs="宋体"/>
          <w:sz w:val="24"/>
          <w:highlight w:val="none"/>
        </w:rPr>
      </w:pPr>
      <w:r>
        <w:rPr>
          <w:rFonts w:hint="eastAsia" w:ascii="宋体" w:hAnsi="宋体" w:cs="宋体"/>
          <w:sz w:val="24"/>
          <w:highlight w:val="none"/>
        </w:rPr>
        <w:t>（13）参选人认为需要提供的其他材料</w:t>
      </w:r>
    </w:p>
    <w:p>
      <w:pPr>
        <w:snapToGrid w:val="0"/>
        <w:spacing w:line="480" w:lineRule="exact"/>
        <w:rPr>
          <w:rFonts w:hint="eastAsia" w:ascii="宋体" w:hAnsi="宋体"/>
          <w:b/>
          <w:bCs/>
          <w:sz w:val="24"/>
          <w:highlight w:val="none"/>
        </w:rPr>
      </w:pPr>
      <w:r>
        <w:rPr>
          <w:rFonts w:hint="eastAsia" w:ascii="宋体" w:hAnsi="宋体"/>
          <w:b/>
          <w:bCs/>
          <w:sz w:val="24"/>
          <w:highlight w:val="none"/>
        </w:rPr>
        <w:t>13. 证明参选人合格和资格的文件</w:t>
      </w:r>
      <w:bookmarkEnd w:id="20"/>
    </w:p>
    <w:p>
      <w:pPr>
        <w:snapToGrid w:val="0"/>
        <w:spacing w:line="480" w:lineRule="exact"/>
        <w:rPr>
          <w:rFonts w:hint="eastAsia" w:ascii="宋体" w:hAnsi="宋体"/>
          <w:sz w:val="24"/>
          <w:highlight w:val="none"/>
        </w:rPr>
      </w:pPr>
      <w:r>
        <w:rPr>
          <w:rFonts w:hint="eastAsia" w:ascii="宋体" w:hAnsi="宋体"/>
          <w:sz w:val="24"/>
          <w:highlight w:val="none"/>
        </w:rPr>
        <w:t>13.1 参选人应提供证明其合格和资格的证明文件（见“</w:t>
      </w:r>
      <w:r>
        <w:rPr>
          <w:rFonts w:hint="eastAsia" w:ascii="宋体" w:hAnsi="宋体" w:cs="宋体"/>
          <w:bCs/>
          <w:sz w:val="24"/>
          <w:highlight w:val="none"/>
        </w:rPr>
        <w:t>第一章 比选公告”</w:t>
      </w:r>
      <w:r>
        <w:rPr>
          <w:rFonts w:hint="eastAsia" w:hAnsi="宋体" w:cs="宋体"/>
          <w:bCs/>
          <w:sz w:val="24"/>
          <w:highlight w:val="none"/>
        </w:rPr>
        <w:t>中“</w:t>
      </w:r>
      <w:r>
        <w:rPr>
          <w:rFonts w:hint="eastAsia" w:ascii="宋体" w:hAnsi="宋体" w:cs="宋体"/>
          <w:bCs/>
          <w:sz w:val="24"/>
          <w:highlight w:val="none"/>
        </w:rPr>
        <w:t>三、参选人资格要求</w:t>
      </w:r>
      <w:r>
        <w:rPr>
          <w:rFonts w:hint="eastAsia" w:hAnsi="宋体" w:cs="宋体"/>
          <w:bCs/>
          <w:sz w:val="24"/>
          <w:highlight w:val="none"/>
        </w:rPr>
        <w:t>”要求提供的材料</w:t>
      </w:r>
      <w:r>
        <w:rPr>
          <w:rFonts w:hint="eastAsia" w:ascii="宋体" w:hAnsi="宋体"/>
          <w:sz w:val="24"/>
          <w:highlight w:val="none"/>
        </w:rPr>
        <w:t>）。</w:t>
      </w:r>
    </w:p>
    <w:p>
      <w:pPr>
        <w:snapToGrid w:val="0"/>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其他资格证明文件。</w:t>
      </w:r>
    </w:p>
    <w:p>
      <w:pPr>
        <w:spacing w:line="480" w:lineRule="exact"/>
        <w:rPr>
          <w:rFonts w:hint="eastAsia" w:ascii="宋体" w:hAnsi="宋体"/>
          <w:b/>
          <w:bCs/>
          <w:sz w:val="24"/>
          <w:highlight w:val="none"/>
        </w:rPr>
      </w:pPr>
      <w:bookmarkStart w:id="21" w:name="_Toc202172757"/>
      <w:r>
        <w:rPr>
          <w:rFonts w:hint="eastAsia" w:ascii="宋体" w:hAnsi="宋体"/>
          <w:b/>
          <w:bCs/>
          <w:sz w:val="24"/>
          <w:highlight w:val="none"/>
        </w:rPr>
        <w:t>14. 证明工程、货物、服务符合比选文件规定的文件</w:t>
      </w:r>
      <w:bookmarkEnd w:id="21"/>
    </w:p>
    <w:p>
      <w:pPr>
        <w:spacing w:line="480" w:lineRule="exact"/>
        <w:rPr>
          <w:rFonts w:hint="eastAsia" w:ascii="宋体" w:hAnsi="宋体" w:eastAsia="宋体"/>
          <w:sz w:val="24"/>
          <w:highlight w:val="none"/>
          <w:lang w:eastAsia="zh-CN"/>
        </w:rPr>
      </w:pPr>
      <w:r>
        <w:rPr>
          <w:rFonts w:hint="eastAsia" w:ascii="宋体" w:hAnsi="宋体"/>
          <w:sz w:val="24"/>
          <w:highlight w:val="none"/>
        </w:rPr>
        <w:t>14</w:t>
      </w:r>
      <w:r>
        <w:rPr>
          <w:rFonts w:ascii="宋体" w:hAnsi="宋体"/>
          <w:sz w:val="24"/>
          <w:highlight w:val="none"/>
        </w:rPr>
        <w:t>.1</w:t>
      </w:r>
      <w:r>
        <w:rPr>
          <w:rFonts w:hint="eastAsia" w:ascii="宋体" w:hAnsi="宋体"/>
          <w:sz w:val="24"/>
          <w:highlight w:val="none"/>
        </w:rPr>
        <w:t xml:space="preserve"> 参选人应提交其工程、货物、服务符合比选文件规定的证明，作为参选文件的一部分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14</w:t>
      </w:r>
      <w:r>
        <w:rPr>
          <w:rFonts w:ascii="宋体" w:hAnsi="宋体"/>
          <w:sz w:val="24"/>
          <w:highlight w:val="none"/>
        </w:rPr>
        <w:t>.</w:t>
      </w:r>
      <w:r>
        <w:rPr>
          <w:rFonts w:hint="eastAsia" w:ascii="宋体" w:hAnsi="宋体"/>
          <w:sz w:val="24"/>
          <w:highlight w:val="none"/>
        </w:rPr>
        <w:t>2工程、货物、服务与比选文件的要求相一致的证明，可以是文字资料、图纸和数据，包括：</w:t>
      </w:r>
    </w:p>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 xml:space="preserve"> 工程、货物、服务主要内容的详细说明</w:t>
      </w:r>
      <w:r>
        <w:rPr>
          <w:rFonts w:hint="eastAsia" w:ascii="宋体" w:hAnsi="宋体"/>
          <w:sz w:val="24"/>
          <w:highlight w:val="none"/>
          <w:lang w:eastAsia="zh-CN"/>
        </w:rPr>
        <w:t>；</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2）对照比选文件工程、货物、项目需求，逐条说明所提供工程、货物、服务已对比选文件作出了实质性响应</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3）商务条款的偏差和例外。</w:t>
      </w:r>
    </w:p>
    <w:p>
      <w:pPr>
        <w:snapToGrid w:val="0"/>
        <w:spacing w:line="360" w:lineRule="auto"/>
        <w:rPr>
          <w:rFonts w:hint="eastAsia" w:ascii="宋体" w:hAnsi="宋体"/>
          <w:b/>
          <w:bCs/>
          <w:sz w:val="24"/>
          <w:highlight w:val="none"/>
        </w:rPr>
      </w:pPr>
      <w:bookmarkStart w:id="22" w:name="_Toc202172758"/>
      <w:r>
        <w:rPr>
          <w:rFonts w:hint="eastAsia" w:ascii="宋体" w:hAnsi="宋体"/>
          <w:b/>
          <w:bCs/>
          <w:sz w:val="24"/>
          <w:highlight w:val="none"/>
        </w:rPr>
        <w:t>15. 参选报价</w:t>
      </w:r>
      <w:bookmarkEnd w:id="22"/>
      <w:bookmarkStart w:id="23" w:name="_Toc202172759"/>
    </w:p>
    <w:p>
      <w:pPr>
        <w:snapToGrid w:val="0"/>
        <w:spacing w:line="360" w:lineRule="auto"/>
        <w:rPr>
          <w:rFonts w:hint="eastAsia" w:hAnsi="宋体" w:eastAsia="宋体" w:cs="宋体"/>
          <w:bCs/>
          <w:sz w:val="24"/>
          <w:highlight w:val="none"/>
          <w:lang w:eastAsia="zh-CN"/>
        </w:rPr>
      </w:pPr>
      <w:r>
        <w:rPr>
          <w:rFonts w:hint="eastAsia" w:ascii="宋体" w:hAnsi="宋体" w:eastAsia="宋体" w:cs="宋体"/>
          <w:bCs/>
          <w:sz w:val="24"/>
          <w:highlight w:val="none"/>
        </w:rPr>
        <w:t xml:space="preserve">15.1 </w:t>
      </w:r>
      <w:r>
        <w:rPr>
          <w:rFonts w:hint="eastAsia" w:hAnsi="宋体" w:cs="宋体"/>
          <w:bCs/>
          <w:sz w:val="24"/>
          <w:highlight w:val="none"/>
        </w:rPr>
        <w:t>参选报价应是比选文件所约定的招标范围内全部工作内容的价格体现</w:t>
      </w:r>
      <w:r>
        <w:rPr>
          <w:rFonts w:hint="eastAsia" w:hAnsi="宋体" w:cs="宋体"/>
          <w:bCs/>
          <w:sz w:val="24"/>
          <w:highlight w:val="none"/>
          <w:lang w:eastAsia="zh-CN"/>
        </w:rPr>
        <w:t>；</w:t>
      </w:r>
    </w:p>
    <w:p>
      <w:pPr>
        <w:pStyle w:val="2"/>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 xml:space="preserve">15.2 参选报价方式： </w:t>
      </w:r>
    </w:p>
    <w:bookmarkEnd w:id="23"/>
    <w:p>
      <w:pPr>
        <w:snapToGrid w:val="0"/>
        <w:spacing w:line="360" w:lineRule="auto"/>
        <w:rPr>
          <w:rFonts w:hint="eastAsia" w:hAnsi="宋体" w:eastAsia="宋体" w:cs="宋体"/>
          <w:bCs/>
          <w:sz w:val="24"/>
          <w:highlight w:val="none"/>
          <w:lang w:eastAsia="zh-CN"/>
        </w:rPr>
      </w:pPr>
      <w:bookmarkStart w:id="24" w:name="_Toc202172760"/>
      <w:r>
        <w:rPr>
          <w:rFonts w:hint="eastAsia" w:ascii="宋体" w:hAnsi="宋体"/>
          <w:sz w:val="24"/>
          <w:highlight w:val="none"/>
        </w:rPr>
        <w:t>1）</w:t>
      </w:r>
      <w:r>
        <w:rPr>
          <w:rFonts w:hint="eastAsia" w:hAnsi="宋体" w:cs="宋体"/>
          <w:bCs/>
          <w:sz w:val="24"/>
          <w:highlight w:val="none"/>
        </w:rPr>
        <w:t>本比选文件所指的实质性要求和条件是：满足比选文件中对服务服务期、质量要求；参选报价不低于企业成本</w:t>
      </w:r>
      <w:r>
        <w:rPr>
          <w:rFonts w:hint="eastAsia" w:hAnsi="宋体" w:cs="宋体"/>
          <w:bCs/>
          <w:sz w:val="24"/>
          <w:highlight w:val="none"/>
          <w:lang w:eastAsia="zh-CN"/>
        </w:rPr>
        <w:t>；</w:t>
      </w:r>
    </w:p>
    <w:p>
      <w:pPr>
        <w:snapToGrid w:val="0"/>
        <w:spacing w:line="360" w:lineRule="auto"/>
        <w:rPr>
          <w:rFonts w:hint="eastAsia" w:hAnsi="宋体" w:eastAsia="宋体" w:cs="宋体"/>
          <w:bCs/>
          <w:sz w:val="24"/>
          <w:highlight w:val="none"/>
          <w:lang w:eastAsia="zh-CN"/>
        </w:rPr>
      </w:pPr>
      <w:r>
        <w:rPr>
          <w:rFonts w:hint="eastAsia" w:hAnsi="宋体" w:cs="宋体"/>
          <w:bCs/>
          <w:sz w:val="24"/>
          <w:highlight w:val="none"/>
        </w:rPr>
        <w:t>2）参选人根据比选文件自主报价；在进行报价时，参选单位须充分考虑本项目的特殊性和不可预见性在内的所有为完成本项目服务所需的各项费用</w:t>
      </w:r>
      <w:r>
        <w:rPr>
          <w:rFonts w:hint="eastAsia" w:hAnsi="宋体" w:cs="宋体"/>
          <w:bCs/>
          <w:sz w:val="24"/>
          <w:highlight w:val="none"/>
          <w:lang w:eastAsia="zh-CN"/>
        </w:rPr>
        <w:t>；</w:t>
      </w:r>
    </w:p>
    <w:p>
      <w:pPr>
        <w:snapToGrid w:val="0"/>
        <w:spacing w:line="360" w:lineRule="auto"/>
        <w:rPr>
          <w:rFonts w:hint="eastAsia" w:ascii="Times New Roman" w:hAnsi="宋体" w:eastAsia="宋体" w:cs="宋体"/>
          <w:bCs/>
          <w:sz w:val="24"/>
          <w:highlight w:val="none"/>
          <w:lang w:val="zh-CN" w:eastAsia="zh-CN"/>
        </w:rPr>
      </w:pPr>
      <w:r>
        <w:rPr>
          <w:rFonts w:hint="eastAsia" w:hAnsi="宋体" w:cs="宋体"/>
          <w:bCs/>
          <w:sz w:val="24"/>
          <w:highlight w:val="none"/>
        </w:rPr>
        <w:t>3）本项目招标控制价</w:t>
      </w:r>
      <w:r>
        <w:rPr>
          <w:rFonts w:hint="eastAsia" w:hAnsi="宋体" w:cs="宋体"/>
          <w:bCs/>
          <w:sz w:val="24"/>
          <w:highlight w:val="none"/>
          <w:lang w:val="en-US" w:eastAsia="zh-CN"/>
        </w:rPr>
        <w:t>292640.94</w:t>
      </w:r>
      <w:r>
        <w:rPr>
          <w:rFonts w:hint="eastAsia" w:hAnsi="宋体" w:cs="宋体"/>
          <w:bCs/>
          <w:sz w:val="24"/>
          <w:highlight w:val="none"/>
        </w:rPr>
        <w:t>元</w:t>
      </w:r>
      <w:r>
        <w:rPr>
          <w:rFonts w:hint="eastAsia" w:hAnsi="宋体" w:cs="宋体"/>
          <w:bCs/>
          <w:sz w:val="24"/>
          <w:highlight w:val="none"/>
          <w:lang w:eastAsia="zh-CN"/>
        </w:rPr>
        <w:t>，</w:t>
      </w:r>
      <w:r>
        <w:rPr>
          <w:rFonts w:hint="eastAsia" w:ascii="Times New Roman" w:hAnsi="宋体" w:eastAsia="宋体" w:cs="宋体"/>
          <w:bCs/>
          <w:sz w:val="24"/>
          <w:highlight w:val="none"/>
          <w:lang w:val="zh-CN" w:eastAsia="zh-CN"/>
        </w:rPr>
        <w:t>参选人参选报价不得超过招标控制总价和单价，否则按无效响应处理。</w:t>
      </w:r>
    </w:p>
    <w:p>
      <w:pPr>
        <w:snapToGrid w:val="0"/>
        <w:spacing w:line="360" w:lineRule="auto"/>
        <w:rPr>
          <w:rFonts w:hint="eastAsia" w:ascii="宋体" w:hAnsi="宋体"/>
          <w:b/>
          <w:bCs/>
          <w:sz w:val="24"/>
          <w:highlight w:val="none"/>
        </w:rPr>
      </w:pPr>
      <w:r>
        <w:rPr>
          <w:rFonts w:hint="eastAsia" w:ascii="宋体" w:hAnsi="宋体"/>
          <w:b/>
          <w:bCs/>
          <w:sz w:val="24"/>
          <w:highlight w:val="none"/>
        </w:rPr>
        <w:t>16. 参选有效期</w:t>
      </w:r>
      <w:bookmarkEnd w:id="24"/>
    </w:p>
    <w:p>
      <w:pPr>
        <w:snapToGrid w:val="0"/>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6</w:t>
      </w:r>
      <w:r>
        <w:rPr>
          <w:rFonts w:ascii="宋体" w:hAnsi="宋体"/>
          <w:sz w:val="24"/>
          <w:highlight w:val="none"/>
        </w:rPr>
        <w:t>.1</w:t>
      </w:r>
      <w:r>
        <w:rPr>
          <w:rFonts w:hint="eastAsia" w:ascii="宋体" w:hAnsi="宋体"/>
          <w:sz w:val="24"/>
          <w:highlight w:val="none"/>
        </w:rPr>
        <w:t xml:space="preserve"> 参选有效期为自比选之日起90个日历天内保持有效</w:t>
      </w:r>
      <w:r>
        <w:rPr>
          <w:rFonts w:hint="eastAsia" w:ascii="宋体" w:hAnsi="宋体"/>
          <w:sz w:val="24"/>
          <w:highlight w:val="none"/>
          <w:lang w:eastAsia="zh-CN"/>
        </w:rPr>
        <w:t>；</w:t>
      </w:r>
      <w:r>
        <w:rPr>
          <w:rFonts w:hint="eastAsia" w:ascii="宋体" w:hAnsi="宋体"/>
          <w:sz w:val="24"/>
          <w:highlight w:val="none"/>
        </w:rPr>
        <w:t>参选有效期不足的参选将被视为非响应性参选作无效参选处理</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 xml:space="preserve">.2 </w:t>
      </w:r>
      <w:r>
        <w:rPr>
          <w:rFonts w:hint="eastAsia" w:ascii="宋体" w:hAnsi="宋体"/>
          <w:sz w:val="24"/>
          <w:highlight w:val="none"/>
        </w:rPr>
        <w:t>在特殊情况下，比选人可延长参选有效期</w:t>
      </w:r>
      <w:r>
        <w:rPr>
          <w:rFonts w:hint="eastAsia" w:ascii="宋体" w:hAnsi="宋体"/>
          <w:sz w:val="24"/>
          <w:highlight w:val="none"/>
          <w:lang w:eastAsia="zh-CN"/>
        </w:rPr>
        <w:t>；</w:t>
      </w:r>
      <w:r>
        <w:rPr>
          <w:rFonts w:hint="eastAsia" w:ascii="宋体" w:hAnsi="宋体"/>
          <w:sz w:val="24"/>
          <w:highlight w:val="none"/>
        </w:rPr>
        <w:t>这种要求和答复都应以书面形式进行</w:t>
      </w:r>
      <w:r>
        <w:rPr>
          <w:rFonts w:hint="eastAsia" w:ascii="宋体" w:hAnsi="宋体"/>
          <w:sz w:val="24"/>
          <w:highlight w:val="none"/>
          <w:lang w:eastAsia="zh-CN"/>
        </w:rPr>
        <w:t>；</w:t>
      </w:r>
      <w:r>
        <w:rPr>
          <w:rFonts w:hint="eastAsia" w:ascii="宋体" w:hAnsi="宋体"/>
          <w:sz w:val="24"/>
          <w:highlight w:val="none"/>
        </w:rPr>
        <w:t>参选人可以拒绝接受延期要求，同意延长有效期的参选人不能修改其参选文件。</w:t>
      </w:r>
    </w:p>
    <w:p>
      <w:pPr>
        <w:spacing w:line="360" w:lineRule="auto"/>
        <w:rPr>
          <w:rFonts w:ascii="宋体" w:hAnsi="宋体"/>
          <w:b/>
          <w:bCs/>
          <w:sz w:val="24"/>
          <w:highlight w:val="none"/>
        </w:rPr>
      </w:pPr>
      <w:bookmarkStart w:id="25" w:name="_Toc202172761"/>
      <w:r>
        <w:rPr>
          <w:rFonts w:hint="eastAsia" w:ascii="宋体" w:hAnsi="宋体"/>
          <w:b/>
          <w:bCs/>
          <w:sz w:val="24"/>
          <w:highlight w:val="none"/>
        </w:rPr>
        <w:t>17.参选文件的签署及规定</w:t>
      </w:r>
      <w:bookmarkEnd w:id="25"/>
      <w:r>
        <w:rPr>
          <w:rFonts w:ascii="宋体" w:hAnsi="宋体"/>
          <w:b/>
          <w:bCs/>
          <w:sz w:val="24"/>
          <w:highlight w:val="none"/>
        </w:rPr>
        <w:t xml:space="preserve"> </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参选文件份数（正本壹份,副本贰份）详见“</w:t>
      </w:r>
      <w:r>
        <w:rPr>
          <w:rFonts w:hint="eastAsia" w:ascii="宋体" w:hAnsi="宋体" w:cs="宋体"/>
          <w:bCs/>
          <w:sz w:val="24"/>
          <w:highlight w:val="none"/>
        </w:rPr>
        <w:t>参选人须知前附表</w:t>
      </w:r>
      <w:r>
        <w:rPr>
          <w:rFonts w:hint="eastAsia" w:ascii="宋体" w:hAnsi="宋体"/>
          <w:sz w:val="24"/>
          <w:highlight w:val="none"/>
        </w:rPr>
        <w:t>”，本项目纸质版参选文件请标明“正本”或“副本”</w:t>
      </w:r>
      <w:r>
        <w:rPr>
          <w:rFonts w:hint="eastAsia" w:ascii="宋体" w:hAnsi="宋体"/>
          <w:sz w:val="24"/>
          <w:highlight w:val="none"/>
          <w:lang w:eastAsia="zh-CN"/>
        </w:rPr>
        <w:t>；</w:t>
      </w:r>
      <w:r>
        <w:rPr>
          <w:rFonts w:hint="eastAsia" w:ascii="宋体" w:hAnsi="宋体"/>
          <w:sz w:val="24"/>
          <w:highlight w:val="none"/>
        </w:rPr>
        <w:t>若正本和副本不符，以正本为准</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本项目纸质版参选文件的正副本必须打印，并由参选人加盖公章和法定代表人（或经正式授权的代表）在本项目纸质版参选文件上</w:t>
      </w:r>
      <w:r>
        <w:rPr>
          <w:rFonts w:hint="eastAsia" w:ascii="宋体" w:hAnsi="宋体"/>
          <w:sz w:val="24"/>
          <w:highlight w:val="none"/>
          <w:lang w:eastAsia="zh-CN"/>
        </w:rPr>
        <w:t>盖</w:t>
      </w:r>
      <w:r>
        <w:rPr>
          <w:rFonts w:hint="eastAsia" w:ascii="宋体" w:hAnsi="宋体"/>
          <w:sz w:val="24"/>
          <w:highlight w:val="none"/>
        </w:rPr>
        <w:t>章（或签字）</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.3</w:t>
      </w:r>
      <w:r>
        <w:rPr>
          <w:rFonts w:hint="eastAsia" w:ascii="宋体" w:hAnsi="宋体"/>
          <w:sz w:val="24"/>
          <w:highlight w:val="none"/>
        </w:rPr>
        <w:t xml:space="preserve"> 本项目纸质版参选文件不得涂改和增删，如有修改，必须由本项目纸质版参选文件签字人签字或盖章</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17.4参选文件内容较多时，可将参选文件分别包装在两个或两个以上的密封袋内；</w:t>
      </w:r>
    </w:p>
    <w:p>
      <w:pPr>
        <w:spacing w:line="360" w:lineRule="auto"/>
        <w:rPr>
          <w:rFonts w:hint="eastAsia" w:ascii="宋体" w:hAnsi="宋体" w:eastAsia="宋体"/>
          <w:sz w:val="24"/>
          <w:highlight w:val="none"/>
          <w:lang w:eastAsia="zh-CN"/>
        </w:rPr>
      </w:pPr>
      <w:r>
        <w:rPr>
          <w:rFonts w:hint="eastAsia" w:ascii="宋体" w:hAnsi="宋体"/>
          <w:sz w:val="24"/>
          <w:highlight w:val="none"/>
        </w:rPr>
        <w:t>17.5 所有封袋封面上都应写明比选人名称和项目名称，并注明</w:t>
      </w:r>
      <w:r>
        <w:rPr>
          <w:rFonts w:hint="eastAsia" w:ascii="宋体" w:hAnsi="宋体"/>
          <w:sz w:val="24"/>
          <w:highlight w:val="none"/>
          <w:lang w:eastAsia="zh-CN"/>
        </w:rPr>
        <w:t>比选</w:t>
      </w:r>
      <w:r>
        <w:rPr>
          <w:rFonts w:hint="eastAsia" w:ascii="宋体" w:hAnsi="宋体"/>
          <w:sz w:val="24"/>
          <w:highlight w:val="none"/>
        </w:rPr>
        <w:t>时间前不得开封</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17.6 所有封袋上都应写明参选人的名称、地址、邮政编码，并在密封袋的所有骑缝处加盖单位公章（或密封章） 和法定代表人（或委托代理人）的印章</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7 本项目纸质版参选文件因字迹潦草或表达不清所引起的后果由参选人负责</w:t>
      </w:r>
      <w:r>
        <w:rPr>
          <w:rFonts w:hint="eastAsia" w:ascii="宋体" w:hAnsi="宋体"/>
          <w:sz w:val="24"/>
          <w:highlight w:val="none"/>
          <w:lang w:eastAsia="zh-CN"/>
        </w:rPr>
        <w:t>；</w:t>
      </w:r>
    </w:p>
    <w:p>
      <w:pPr>
        <w:spacing w:line="360" w:lineRule="auto"/>
        <w:rPr>
          <w:rFonts w:ascii="宋体" w:hAnsi="宋体"/>
          <w:sz w:val="24"/>
          <w:highlight w:val="none"/>
        </w:rPr>
      </w:pPr>
      <w:r>
        <w:rPr>
          <w:rFonts w:hint="eastAsia" w:ascii="宋体" w:hAnsi="宋体"/>
          <w:sz w:val="24"/>
          <w:highlight w:val="none"/>
        </w:rPr>
        <w:t>17</w:t>
      </w:r>
      <w:r>
        <w:rPr>
          <w:rFonts w:ascii="宋体" w:hAnsi="宋体"/>
          <w:sz w:val="24"/>
          <w:highlight w:val="none"/>
        </w:rPr>
        <w:t>.</w:t>
      </w:r>
      <w:r>
        <w:rPr>
          <w:rFonts w:hint="eastAsia" w:ascii="宋体" w:hAnsi="宋体"/>
          <w:sz w:val="24"/>
          <w:highlight w:val="none"/>
        </w:rPr>
        <w:t>8 电报、电传、传真形式的参选概不接受。</w:t>
      </w:r>
    </w:p>
    <w:p>
      <w:pPr>
        <w:spacing w:line="360" w:lineRule="auto"/>
        <w:jc w:val="center"/>
        <w:rPr>
          <w:rFonts w:hint="eastAsia" w:ascii="宋体" w:hAnsi="宋体"/>
          <w:b/>
          <w:bCs/>
          <w:sz w:val="24"/>
          <w:highlight w:val="none"/>
        </w:rPr>
      </w:pPr>
      <w:bookmarkStart w:id="26" w:name="_Toc202172762"/>
    </w:p>
    <w:p>
      <w:pPr>
        <w:spacing w:line="360" w:lineRule="auto"/>
        <w:jc w:val="center"/>
        <w:rPr>
          <w:rFonts w:ascii="宋体" w:hAnsi="宋体"/>
          <w:b/>
          <w:bCs/>
          <w:sz w:val="24"/>
          <w:highlight w:val="none"/>
        </w:rPr>
      </w:pPr>
      <w:r>
        <w:rPr>
          <w:rFonts w:hint="eastAsia" w:ascii="宋体" w:hAnsi="宋体"/>
          <w:b/>
          <w:bCs/>
          <w:sz w:val="24"/>
          <w:highlight w:val="none"/>
        </w:rPr>
        <w:t>四、</w:t>
      </w:r>
      <w:r>
        <w:rPr>
          <w:rFonts w:ascii="宋体" w:hAnsi="宋体"/>
          <w:b/>
          <w:bCs/>
          <w:sz w:val="24"/>
          <w:highlight w:val="none"/>
        </w:rPr>
        <w:t xml:space="preserve"> </w:t>
      </w:r>
      <w:r>
        <w:rPr>
          <w:rFonts w:hint="eastAsia" w:ascii="宋体" w:hAnsi="宋体"/>
          <w:b/>
          <w:bCs/>
          <w:sz w:val="24"/>
          <w:highlight w:val="none"/>
        </w:rPr>
        <w:t>参选文件的递交</w:t>
      </w:r>
      <w:bookmarkEnd w:id="26"/>
    </w:p>
    <w:p>
      <w:pPr>
        <w:snapToGrid w:val="0"/>
        <w:spacing w:line="360" w:lineRule="auto"/>
        <w:rPr>
          <w:rFonts w:ascii="宋体" w:hAnsi="宋体"/>
          <w:b/>
          <w:bCs/>
          <w:sz w:val="24"/>
          <w:highlight w:val="none"/>
        </w:rPr>
      </w:pPr>
      <w:bookmarkStart w:id="27" w:name="_Toc202172764"/>
      <w:r>
        <w:rPr>
          <w:rFonts w:hint="eastAsia" w:ascii="宋体" w:hAnsi="宋体"/>
          <w:b/>
          <w:bCs/>
          <w:sz w:val="24"/>
          <w:highlight w:val="none"/>
        </w:rPr>
        <w:t>18. 参选截止时间</w:t>
      </w:r>
      <w:bookmarkEnd w:id="27"/>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18</w:t>
      </w:r>
      <w:r>
        <w:rPr>
          <w:rFonts w:ascii="宋体" w:hAnsi="宋体"/>
          <w:sz w:val="24"/>
          <w:highlight w:val="none"/>
        </w:rPr>
        <w:t xml:space="preserve">.1 </w:t>
      </w:r>
      <w:r>
        <w:rPr>
          <w:rFonts w:hint="eastAsia" w:ascii="宋体" w:hAnsi="宋体"/>
          <w:sz w:val="24"/>
          <w:highlight w:val="none"/>
        </w:rPr>
        <w:t>参选文件（含原件）必须在比选公告规定的递交参选文件截止时间前送达指定的比选地点</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18</w:t>
      </w:r>
      <w:r>
        <w:rPr>
          <w:rFonts w:ascii="宋体" w:hAnsi="宋体"/>
          <w:sz w:val="24"/>
          <w:highlight w:val="none"/>
        </w:rPr>
        <w:t>.</w:t>
      </w:r>
      <w:r>
        <w:rPr>
          <w:rFonts w:hint="eastAsia" w:ascii="宋体" w:hAnsi="宋体"/>
          <w:sz w:val="24"/>
          <w:highlight w:val="none"/>
        </w:rPr>
        <w:t>2 招标代理机构推迟参选递交参选文件截止时间的，应以书面形式通知所有参选人</w:t>
      </w:r>
      <w:r>
        <w:rPr>
          <w:rFonts w:hint="eastAsia" w:ascii="宋体" w:hAnsi="宋体"/>
          <w:sz w:val="24"/>
          <w:highlight w:val="none"/>
          <w:lang w:eastAsia="zh-CN"/>
        </w:rPr>
        <w:t>；</w:t>
      </w:r>
      <w:r>
        <w:rPr>
          <w:rFonts w:hint="eastAsia" w:ascii="宋体" w:hAnsi="宋体"/>
          <w:sz w:val="24"/>
          <w:highlight w:val="none"/>
        </w:rPr>
        <w:t>在这种情况下，招标代理机构、比选人和参选人受递交参选文件截止时间制约的所有权利和义务均应延长至新的递交参选文件截止时间。</w:t>
      </w:r>
    </w:p>
    <w:p>
      <w:pPr>
        <w:spacing w:line="360" w:lineRule="auto"/>
        <w:rPr>
          <w:rFonts w:hint="eastAsia" w:ascii="宋体" w:hAnsi="宋体"/>
          <w:b/>
          <w:bCs/>
          <w:sz w:val="24"/>
          <w:highlight w:val="none"/>
        </w:rPr>
      </w:pPr>
      <w:bookmarkStart w:id="28" w:name="_Toc202172765"/>
      <w:r>
        <w:rPr>
          <w:rFonts w:hint="eastAsia" w:ascii="宋体" w:hAnsi="宋体"/>
          <w:b/>
          <w:bCs/>
          <w:sz w:val="24"/>
          <w:highlight w:val="none"/>
        </w:rPr>
        <w:t>19. 迟交的参选文件</w:t>
      </w:r>
      <w:bookmarkEnd w:id="28"/>
    </w:p>
    <w:p>
      <w:pPr>
        <w:spacing w:line="360" w:lineRule="auto"/>
        <w:rPr>
          <w:rFonts w:hint="eastAsia" w:ascii="宋体" w:hAnsi="宋体"/>
          <w:sz w:val="24"/>
          <w:highlight w:val="none"/>
        </w:rPr>
      </w:pPr>
      <w:r>
        <w:rPr>
          <w:rFonts w:hint="eastAsia" w:ascii="宋体" w:hAnsi="宋体"/>
          <w:sz w:val="24"/>
          <w:highlight w:val="none"/>
        </w:rPr>
        <w:t>19</w:t>
      </w:r>
      <w:r>
        <w:rPr>
          <w:rFonts w:ascii="宋体" w:hAnsi="宋体"/>
          <w:sz w:val="24"/>
          <w:highlight w:val="none"/>
        </w:rPr>
        <w:t>.</w:t>
      </w: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参选文件未按比选文件要求签署、密封及标记的，以及在递交参选文件截止时间以后送达的参选文件（含原件），招标代理机构有权拒收。</w:t>
      </w:r>
    </w:p>
    <w:p>
      <w:pPr>
        <w:spacing w:line="360" w:lineRule="auto"/>
        <w:rPr>
          <w:rFonts w:ascii="宋体" w:hAnsi="宋体"/>
          <w:b/>
          <w:bCs/>
          <w:sz w:val="24"/>
          <w:highlight w:val="none"/>
        </w:rPr>
      </w:pPr>
      <w:bookmarkStart w:id="29" w:name="_Toc202172766"/>
      <w:r>
        <w:rPr>
          <w:rFonts w:hint="eastAsia" w:ascii="宋体" w:hAnsi="宋体"/>
          <w:b/>
          <w:bCs/>
          <w:sz w:val="24"/>
          <w:highlight w:val="none"/>
        </w:rPr>
        <w:t>20. 参选文件的修改和撤回</w:t>
      </w:r>
      <w:bookmarkEnd w:id="29"/>
    </w:p>
    <w:p>
      <w:pPr>
        <w:spacing w:line="360" w:lineRule="auto"/>
        <w:rPr>
          <w:rFonts w:ascii="宋体" w:hAnsi="宋体"/>
          <w:sz w:val="24"/>
          <w:highlight w:val="none"/>
        </w:rPr>
      </w:pPr>
      <w:r>
        <w:rPr>
          <w:rFonts w:hint="eastAsia" w:ascii="宋体" w:hAnsi="宋体"/>
          <w:sz w:val="24"/>
          <w:highlight w:val="none"/>
        </w:rPr>
        <w:t>20</w:t>
      </w:r>
      <w:r>
        <w:rPr>
          <w:rFonts w:ascii="宋体" w:hAnsi="宋体"/>
          <w:sz w:val="24"/>
          <w:highlight w:val="none"/>
        </w:rPr>
        <w:t>.1</w:t>
      </w:r>
      <w:r>
        <w:rPr>
          <w:rFonts w:hint="eastAsia" w:ascii="宋体" w:hAnsi="宋体"/>
          <w:sz w:val="24"/>
          <w:highlight w:val="none"/>
        </w:rPr>
        <w:t xml:space="preserve"> 在递交参选文件截止时间前，参选人可以书面形式提出修改或撤回其参选文件</w:t>
      </w:r>
      <w:r>
        <w:rPr>
          <w:rFonts w:hint="eastAsia" w:ascii="宋体" w:hAnsi="宋体"/>
          <w:sz w:val="24"/>
          <w:highlight w:val="none"/>
          <w:lang w:eastAsia="zh-CN"/>
        </w:rPr>
        <w:t>；</w:t>
      </w:r>
      <w:r>
        <w:rPr>
          <w:rFonts w:ascii="宋体" w:hAnsi="宋体"/>
          <w:sz w:val="24"/>
          <w:highlight w:val="none"/>
        </w:rPr>
        <w:t xml:space="preserve"> </w:t>
      </w:r>
    </w:p>
    <w:p>
      <w:pPr>
        <w:spacing w:line="360" w:lineRule="auto"/>
        <w:rPr>
          <w:rFonts w:hint="eastAsia" w:ascii="宋体" w:hAnsi="宋体" w:eastAsia="宋体"/>
          <w:sz w:val="24"/>
          <w:highlight w:val="none"/>
          <w:lang w:eastAsia="zh-CN"/>
        </w:rPr>
      </w:pPr>
      <w:r>
        <w:rPr>
          <w:rFonts w:hint="eastAsia" w:ascii="宋体" w:hAnsi="宋体"/>
          <w:sz w:val="24"/>
          <w:highlight w:val="none"/>
        </w:rPr>
        <w:t>20</w:t>
      </w:r>
      <w:r>
        <w:rPr>
          <w:rFonts w:ascii="宋体" w:hAnsi="宋体"/>
          <w:sz w:val="24"/>
          <w:highlight w:val="none"/>
        </w:rPr>
        <w:t xml:space="preserve">.2 </w:t>
      </w:r>
      <w:r>
        <w:rPr>
          <w:rFonts w:hint="eastAsia" w:ascii="宋体" w:hAnsi="宋体"/>
          <w:sz w:val="24"/>
          <w:highlight w:val="none"/>
        </w:rPr>
        <w:t>参选人修改或撤回参选文件的书面材料，须密封送达比选人，同时应在封皮上标明“参选文件修改”或“参选文件撤回通知”字样</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20</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从递交参选文件截止时间至参选有效期期满这段时间内，参选人不得撤回其参选文件。</w:t>
      </w:r>
    </w:p>
    <w:p>
      <w:pPr>
        <w:spacing w:line="360" w:lineRule="auto"/>
        <w:rPr>
          <w:rFonts w:ascii="宋体" w:hAnsi="宋体"/>
          <w:sz w:val="24"/>
          <w:highlight w:val="none"/>
        </w:rPr>
      </w:pPr>
    </w:p>
    <w:p>
      <w:pPr>
        <w:spacing w:line="360" w:lineRule="auto"/>
        <w:jc w:val="center"/>
        <w:rPr>
          <w:rFonts w:hint="eastAsia" w:ascii="宋体" w:hAnsi="宋体"/>
          <w:b/>
          <w:bCs/>
          <w:sz w:val="24"/>
          <w:highlight w:val="none"/>
        </w:rPr>
      </w:pPr>
      <w:bookmarkStart w:id="30" w:name="_Toc202172767"/>
      <w:r>
        <w:rPr>
          <w:rFonts w:hint="eastAsia" w:ascii="宋体" w:hAnsi="宋体"/>
          <w:b/>
          <w:bCs/>
          <w:sz w:val="24"/>
          <w:highlight w:val="none"/>
        </w:rPr>
        <w:t>五、</w:t>
      </w:r>
      <w:r>
        <w:rPr>
          <w:rFonts w:ascii="宋体" w:hAnsi="宋体"/>
          <w:b/>
          <w:bCs/>
          <w:sz w:val="24"/>
          <w:highlight w:val="none"/>
        </w:rPr>
        <w:t xml:space="preserve"> </w:t>
      </w:r>
      <w:r>
        <w:rPr>
          <w:rFonts w:hint="eastAsia" w:ascii="宋体" w:hAnsi="宋体"/>
          <w:b/>
          <w:bCs/>
          <w:sz w:val="24"/>
          <w:highlight w:val="none"/>
        </w:rPr>
        <w:t>比选及</w:t>
      </w:r>
      <w:bookmarkEnd w:id="30"/>
      <w:r>
        <w:rPr>
          <w:rFonts w:hint="eastAsia" w:ascii="宋体" w:hAnsi="宋体"/>
          <w:b/>
          <w:bCs/>
          <w:sz w:val="24"/>
          <w:highlight w:val="none"/>
        </w:rPr>
        <w:t>评审</w:t>
      </w:r>
    </w:p>
    <w:p>
      <w:pPr>
        <w:spacing w:line="360" w:lineRule="auto"/>
        <w:rPr>
          <w:rFonts w:hint="eastAsia" w:ascii="宋体" w:hAnsi="宋体"/>
          <w:b/>
          <w:bCs/>
          <w:sz w:val="24"/>
          <w:highlight w:val="none"/>
        </w:rPr>
      </w:pPr>
      <w:r>
        <w:rPr>
          <w:rFonts w:hint="eastAsia" w:ascii="宋体" w:hAnsi="宋体"/>
          <w:b/>
          <w:bCs/>
          <w:sz w:val="24"/>
          <w:highlight w:val="none"/>
        </w:rPr>
        <w:t>21. 比选要求及程序</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.1</w:t>
      </w:r>
      <w:r>
        <w:rPr>
          <w:rFonts w:hint="eastAsia" w:ascii="宋体" w:hAnsi="宋体"/>
          <w:sz w:val="24"/>
          <w:highlight w:val="none"/>
        </w:rPr>
        <w:t>招标代理机构在比选公告中规定的时间、地点主持公开比选活动</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2 比选时，招标代理机构将宣读参选人名称、参选报价内容</w:t>
      </w:r>
      <w:r>
        <w:rPr>
          <w:rFonts w:hint="eastAsia" w:ascii="宋体" w:hAnsi="宋体"/>
          <w:sz w:val="24"/>
          <w:highlight w:val="none"/>
          <w:lang w:eastAsia="zh-CN"/>
        </w:rPr>
        <w:t>；</w:t>
      </w:r>
      <w:r>
        <w:rPr>
          <w:rFonts w:hint="eastAsia" w:ascii="宋体" w:hAnsi="宋体"/>
          <w:sz w:val="24"/>
          <w:highlight w:val="none"/>
        </w:rPr>
        <w:t>招标代理机构将做比选记录，只有比选时唱出的参选声明，在评审时才予以考虑</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w:t>
      </w:r>
      <w:r>
        <w:rPr>
          <w:rFonts w:hint="eastAsia" w:ascii="宋体" w:hAnsi="宋体"/>
          <w:sz w:val="24"/>
          <w:highlight w:val="none"/>
        </w:rPr>
        <w:t>.3比选程序详见“第三章 评审办法”。</w:t>
      </w:r>
    </w:p>
    <w:p>
      <w:pPr>
        <w:spacing w:line="360" w:lineRule="auto"/>
        <w:ind w:left="-13"/>
        <w:rPr>
          <w:b/>
          <w:bCs/>
          <w:sz w:val="24"/>
          <w:highlight w:val="none"/>
        </w:rPr>
      </w:pPr>
      <w:bookmarkStart w:id="31" w:name="_Toc202172769"/>
      <w:r>
        <w:rPr>
          <w:rFonts w:hint="eastAsia"/>
          <w:b/>
          <w:bCs/>
          <w:sz w:val="24"/>
          <w:highlight w:val="none"/>
        </w:rPr>
        <w:t>22. 参选的澄清</w:t>
      </w:r>
    </w:p>
    <w:p>
      <w:pPr>
        <w:spacing w:line="360" w:lineRule="auto"/>
        <w:rPr>
          <w:rFonts w:hint="eastAsia"/>
          <w:sz w:val="24"/>
          <w:highlight w:val="none"/>
        </w:rPr>
      </w:pPr>
      <w:r>
        <w:rPr>
          <w:sz w:val="24"/>
          <w:highlight w:val="none"/>
        </w:rPr>
        <w:t>2</w:t>
      </w:r>
      <w:r>
        <w:rPr>
          <w:rFonts w:hint="eastAsia"/>
          <w:sz w:val="24"/>
          <w:highlight w:val="none"/>
        </w:rPr>
        <w:t>2</w:t>
      </w:r>
      <w:r>
        <w:rPr>
          <w:sz w:val="24"/>
          <w:highlight w:val="none"/>
        </w:rPr>
        <w:t>.</w:t>
      </w:r>
      <w:r>
        <w:rPr>
          <w:rFonts w:hint="eastAsia"/>
          <w:sz w:val="24"/>
          <w:highlight w:val="none"/>
        </w:rPr>
        <w:t>1　在</w:t>
      </w:r>
      <w:r>
        <w:rPr>
          <w:rFonts w:hint="eastAsia" w:ascii="宋体" w:hAnsi="宋体"/>
          <w:sz w:val="24"/>
          <w:highlight w:val="none"/>
        </w:rPr>
        <w:t>评审</w:t>
      </w:r>
      <w:r>
        <w:rPr>
          <w:rFonts w:hint="eastAsia"/>
          <w:sz w:val="24"/>
          <w:highlight w:val="none"/>
        </w:rPr>
        <w:t>期间，可要求参选人对其参选文件进行澄清，但澄清不得对参选价格等实质内容做任何修改</w:t>
      </w:r>
      <w:r>
        <w:rPr>
          <w:rFonts w:hint="eastAsia"/>
          <w:sz w:val="24"/>
          <w:highlight w:val="none"/>
          <w:lang w:eastAsia="zh-CN"/>
        </w:rPr>
        <w:t>；</w:t>
      </w:r>
      <w:r>
        <w:rPr>
          <w:rFonts w:hint="eastAsia"/>
          <w:sz w:val="24"/>
          <w:highlight w:val="none"/>
        </w:rPr>
        <w:t>有关澄清的要求和答复均应以书面形式提交。</w:t>
      </w:r>
    </w:p>
    <w:p>
      <w:pPr>
        <w:spacing w:line="360" w:lineRule="auto"/>
        <w:ind w:left="-4" w:leftChars="-2" w:firstLine="2" w:firstLineChars="1"/>
        <w:rPr>
          <w:b/>
          <w:bCs/>
          <w:sz w:val="24"/>
          <w:highlight w:val="none"/>
        </w:rPr>
      </w:pPr>
      <w:r>
        <w:rPr>
          <w:rFonts w:hint="eastAsia"/>
          <w:b/>
          <w:bCs/>
          <w:sz w:val="24"/>
          <w:highlight w:val="none"/>
        </w:rPr>
        <w:t>23. 参选的评价</w:t>
      </w:r>
    </w:p>
    <w:p>
      <w:pPr>
        <w:spacing w:line="360" w:lineRule="auto"/>
        <w:ind w:left="629" w:hanging="628" w:hangingChars="262"/>
        <w:rPr>
          <w:rFonts w:hint="eastAsia" w:eastAsia="宋体"/>
          <w:sz w:val="24"/>
          <w:highlight w:val="none"/>
          <w:lang w:eastAsia="zh-CN"/>
        </w:rPr>
      </w:pPr>
      <w:r>
        <w:rPr>
          <w:sz w:val="24"/>
          <w:highlight w:val="none"/>
        </w:rPr>
        <w:t>2</w:t>
      </w:r>
      <w:r>
        <w:rPr>
          <w:rFonts w:hint="eastAsia"/>
          <w:sz w:val="24"/>
          <w:highlight w:val="none"/>
        </w:rPr>
        <w:t>3</w:t>
      </w:r>
      <w:r>
        <w:rPr>
          <w:sz w:val="24"/>
          <w:highlight w:val="none"/>
        </w:rPr>
        <w:t>.1</w:t>
      </w:r>
      <w:r>
        <w:rPr>
          <w:rFonts w:hint="eastAsia"/>
          <w:sz w:val="24"/>
          <w:highlight w:val="none"/>
        </w:rPr>
        <w:t>　评审小组将按照</w:t>
      </w:r>
      <w:r>
        <w:rPr>
          <w:rFonts w:hint="eastAsia" w:ascii="宋体" w:hAnsi="宋体"/>
          <w:sz w:val="24"/>
          <w:highlight w:val="none"/>
        </w:rPr>
        <w:t>“第三章 评审办法”</w:t>
      </w:r>
      <w:r>
        <w:rPr>
          <w:rFonts w:hint="eastAsia"/>
          <w:sz w:val="24"/>
          <w:highlight w:val="none"/>
        </w:rPr>
        <w:t>的规定，对参选文件进行评价和比较</w:t>
      </w:r>
      <w:r>
        <w:rPr>
          <w:rFonts w:hint="eastAsia"/>
          <w:sz w:val="24"/>
          <w:highlight w:val="none"/>
          <w:lang w:eastAsia="zh-CN"/>
        </w:rPr>
        <w:t>；</w:t>
      </w:r>
    </w:p>
    <w:p>
      <w:pPr>
        <w:spacing w:line="360" w:lineRule="auto"/>
        <w:ind w:left="629" w:hanging="628" w:hangingChars="262"/>
        <w:rPr>
          <w:rFonts w:hint="eastAsia"/>
          <w:sz w:val="24"/>
          <w:highlight w:val="none"/>
        </w:rPr>
      </w:pPr>
      <w:r>
        <w:rPr>
          <w:rFonts w:hint="eastAsia"/>
          <w:sz w:val="24"/>
          <w:highlight w:val="none"/>
        </w:rPr>
        <w:t>23</w:t>
      </w:r>
      <w:r>
        <w:rPr>
          <w:sz w:val="24"/>
          <w:highlight w:val="none"/>
        </w:rPr>
        <w:t>.</w:t>
      </w:r>
      <w:r>
        <w:rPr>
          <w:rFonts w:hint="eastAsia"/>
          <w:sz w:val="24"/>
          <w:highlight w:val="none"/>
        </w:rPr>
        <w:t>2　依据相关规定组建的比选小组在评审时，除根据第15条款的规定考虑参选人的参</w:t>
      </w:r>
    </w:p>
    <w:p>
      <w:pPr>
        <w:spacing w:line="360" w:lineRule="auto"/>
        <w:rPr>
          <w:rFonts w:hint="eastAsia"/>
          <w:sz w:val="24"/>
          <w:highlight w:val="none"/>
        </w:rPr>
      </w:pPr>
      <w:r>
        <w:rPr>
          <w:rFonts w:hint="eastAsia"/>
          <w:sz w:val="24"/>
          <w:highlight w:val="none"/>
        </w:rPr>
        <w:t>选报价之外，还要考虑以下因素：</w:t>
      </w:r>
    </w:p>
    <w:p>
      <w:pPr>
        <w:spacing w:line="360" w:lineRule="auto"/>
        <w:ind w:left="311" w:hanging="629"/>
        <w:rPr>
          <w:rFonts w:hint="eastAsia"/>
          <w:sz w:val="24"/>
          <w:highlight w:val="none"/>
        </w:rPr>
      </w:pPr>
      <w:r>
        <w:rPr>
          <w:rFonts w:hint="eastAsia"/>
          <w:sz w:val="24"/>
          <w:highlight w:val="none"/>
        </w:rPr>
        <w:t>　　　　1）参选文件中申报的付款方式和条件的偏差；</w:t>
      </w:r>
    </w:p>
    <w:p>
      <w:pPr>
        <w:spacing w:line="360" w:lineRule="auto"/>
        <w:ind w:left="315" w:hanging="633"/>
        <w:rPr>
          <w:rFonts w:hint="eastAsia"/>
          <w:sz w:val="24"/>
          <w:highlight w:val="none"/>
        </w:rPr>
      </w:pPr>
      <w:r>
        <w:rPr>
          <w:rFonts w:hint="eastAsia"/>
          <w:sz w:val="24"/>
          <w:highlight w:val="none"/>
        </w:rPr>
        <w:t>　　　　2）工程、货物、服务的水平和能力；</w:t>
      </w:r>
    </w:p>
    <w:p>
      <w:pPr>
        <w:spacing w:line="360" w:lineRule="auto"/>
        <w:ind w:left="311" w:hanging="629"/>
        <w:rPr>
          <w:rFonts w:hint="eastAsia"/>
          <w:sz w:val="24"/>
          <w:highlight w:val="none"/>
        </w:rPr>
      </w:pPr>
      <w:r>
        <w:rPr>
          <w:rFonts w:hint="eastAsia"/>
          <w:sz w:val="24"/>
          <w:highlight w:val="none"/>
        </w:rPr>
        <w:t>　　　　3）工程、货物、服务的质量及适用性。</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23.3</w:t>
      </w:r>
      <w:r>
        <w:rPr>
          <w:rFonts w:hint="eastAsia"/>
          <w:sz w:val="24"/>
          <w:highlight w:val="none"/>
        </w:rPr>
        <w:t>　</w:t>
      </w:r>
      <w:r>
        <w:rPr>
          <w:rFonts w:hint="eastAsia" w:ascii="Times New Roman" w:hAnsi="Times New Roman" w:eastAsia="宋体" w:cs="Times New Roman"/>
          <w:sz w:val="24"/>
          <w:highlight w:val="none"/>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p>
      <w:pPr>
        <w:spacing w:line="360" w:lineRule="auto"/>
        <w:rPr>
          <w:rFonts w:hint="eastAsia" w:ascii="宋体" w:hAnsi="宋体"/>
          <w:b/>
          <w:bCs/>
          <w:sz w:val="24"/>
          <w:highlight w:val="none"/>
        </w:rPr>
      </w:pPr>
      <w:r>
        <w:rPr>
          <w:rFonts w:ascii="宋体" w:hAnsi="宋体"/>
          <w:b/>
          <w:bCs/>
          <w:sz w:val="24"/>
          <w:highlight w:val="none"/>
        </w:rPr>
        <w:t>2</w:t>
      </w:r>
      <w:r>
        <w:rPr>
          <w:rFonts w:hint="eastAsia" w:ascii="宋体" w:hAnsi="宋体"/>
          <w:b/>
          <w:bCs/>
          <w:sz w:val="24"/>
          <w:highlight w:val="none"/>
        </w:rPr>
        <w:t>4</w:t>
      </w:r>
      <w:r>
        <w:rPr>
          <w:rFonts w:ascii="宋体" w:hAnsi="宋体"/>
          <w:b/>
          <w:bCs/>
          <w:sz w:val="24"/>
          <w:highlight w:val="none"/>
        </w:rPr>
        <w:t>.</w:t>
      </w:r>
      <w:r>
        <w:rPr>
          <w:rFonts w:hint="eastAsia" w:ascii="宋体" w:hAnsi="宋体"/>
          <w:b/>
          <w:bCs/>
          <w:sz w:val="24"/>
          <w:highlight w:val="none"/>
        </w:rPr>
        <w:t xml:space="preserve"> 比选小组和评审方法</w:t>
      </w:r>
      <w:bookmarkEnd w:id="31"/>
    </w:p>
    <w:p>
      <w:pPr>
        <w:spacing w:line="360" w:lineRule="auto"/>
        <w:rPr>
          <w:rFonts w:hint="eastAsia" w:ascii="宋体" w:hAnsi="宋体" w:eastAsia="宋体"/>
          <w:sz w:val="24"/>
          <w:highlight w:val="none"/>
          <w:lang w:eastAsia="zh-CN"/>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1评审由依照有关规定组建的比选小组负责</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24.2评审方法详见“第三章 评审办法”</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24.3参选人所有申报材料须完整和如实填写，弄虚作假一经发现，将取消其参选资格，并报有关部门严肃处理。</w:t>
      </w:r>
    </w:p>
    <w:p>
      <w:pPr>
        <w:spacing w:line="360" w:lineRule="auto"/>
        <w:rPr>
          <w:rFonts w:hint="eastAsia" w:ascii="宋体" w:hAnsi="宋体"/>
          <w:b/>
          <w:bCs/>
          <w:sz w:val="24"/>
          <w:highlight w:val="none"/>
        </w:rPr>
      </w:pPr>
      <w:bookmarkStart w:id="32" w:name="_Toc202172773"/>
      <w:r>
        <w:rPr>
          <w:rFonts w:hint="eastAsia" w:ascii="宋体" w:hAnsi="宋体"/>
          <w:b/>
          <w:bCs/>
          <w:sz w:val="24"/>
          <w:highlight w:val="none"/>
        </w:rPr>
        <w:t>25. 与招标代理机构和比选人的接触</w:t>
      </w:r>
      <w:bookmarkEnd w:id="32"/>
    </w:p>
    <w:p>
      <w:pPr>
        <w:spacing w:line="360" w:lineRule="auto"/>
        <w:rPr>
          <w:rFonts w:hint="eastAsia" w:ascii="宋体" w:hAnsi="宋体" w:eastAsia="宋体"/>
          <w:sz w:val="24"/>
          <w:highlight w:val="none"/>
          <w:lang w:eastAsia="zh-CN"/>
        </w:rPr>
      </w:pPr>
      <w:r>
        <w:rPr>
          <w:rFonts w:hint="eastAsia" w:ascii="宋体" w:hAnsi="宋体"/>
          <w:sz w:val="24"/>
          <w:highlight w:val="none"/>
        </w:rPr>
        <w:t>25</w:t>
      </w:r>
      <w:r>
        <w:rPr>
          <w:rFonts w:ascii="宋体" w:hAnsi="宋体"/>
          <w:sz w:val="24"/>
          <w:highlight w:val="none"/>
        </w:rPr>
        <w:t xml:space="preserve">.1 </w:t>
      </w:r>
      <w:r>
        <w:rPr>
          <w:rFonts w:hint="eastAsia" w:ascii="宋体" w:hAnsi="宋体"/>
          <w:sz w:val="24"/>
          <w:highlight w:val="none"/>
        </w:rPr>
        <w:t>除按本须知规定的外，从递交参选文件截止时间起至授予合同期间，参选人不得就其参选有关的事项与招标代理机构、比选人、比选小组接触</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25</w:t>
      </w:r>
      <w:r>
        <w:rPr>
          <w:rFonts w:ascii="宋体" w:hAnsi="宋体"/>
          <w:sz w:val="24"/>
          <w:highlight w:val="none"/>
        </w:rPr>
        <w:t xml:space="preserve">.2 </w:t>
      </w:r>
      <w:r>
        <w:rPr>
          <w:rFonts w:hint="eastAsia" w:ascii="宋体" w:hAnsi="宋体"/>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sz w:val="24"/>
          <w:highlight w:val="none"/>
        </w:rPr>
      </w:pPr>
      <w:bookmarkStart w:id="33" w:name="_Toc202172774"/>
      <w:r>
        <w:rPr>
          <w:rFonts w:hint="eastAsia" w:ascii="宋体" w:hAnsi="宋体"/>
          <w:b/>
          <w:bCs/>
          <w:sz w:val="24"/>
          <w:highlight w:val="none"/>
        </w:rPr>
        <w:t>六、</w:t>
      </w:r>
      <w:r>
        <w:rPr>
          <w:rFonts w:ascii="宋体" w:hAnsi="宋体"/>
          <w:b/>
          <w:bCs/>
          <w:sz w:val="24"/>
          <w:highlight w:val="none"/>
        </w:rPr>
        <w:t xml:space="preserve"> </w:t>
      </w:r>
      <w:r>
        <w:rPr>
          <w:rFonts w:hint="eastAsia" w:ascii="宋体" w:hAnsi="宋体"/>
          <w:b/>
          <w:bCs/>
          <w:sz w:val="24"/>
          <w:highlight w:val="none"/>
        </w:rPr>
        <w:t>授予合同</w:t>
      </w:r>
      <w:bookmarkEnd w:id="33"/>
    </w:p>
    <w:p>
      <w:pPr>
        <w:spacing w:line="360" w:lineRule="auto"/>
        <w:rPr>
          <w:rFonts w:hint="eastAsia" w:ascii="宋体" w:hAnsi="宋体"/>
          <w:b/>
          <w:bCs/>
          <w:sz w:val="24"/>
          <w:highlight w:val="none"/>
        </w:rPr>
      </w:pPr>
      <w:bookmarkStart w:id="34" w:name="_Toc202172777"/>
      <w:r>
        <w:rPr>
          <w:rFonts w:hint="eastAsia" w:ascii="宋体" w:hAnsi="宋体"/>
          <w:b/>
          <w:bCs/>
          <w:sz w:val="24"/>
          <w:highlight w:val="none"/>
        </w:rPr>
        <w:t>26.中选候选人公示</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.1评审结束经比选人确认后，比选人将在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公示中选候选人，公示期为</w:t>
      </w:r>
      <w:r>
        <w:rPr>
          <w:rFonts w:hint="eastAsia" w:ascii="宋体" w:hAnsi="宋体"/>
          <w:sz w:val="24"/>
          <w:highlight w:val="none"/>
          <w:lang w:val="en-US" w:eastAsia="zh-CN"/>
        </w:rPr>
        <w:t>3</w:t>
      </w:r>
      <w:r>
        <w:rPr>
          <w:rFonts w:hint="eastAsia" w:ascii="宋体" w:hAnsi="宋体"/>
          <w:sz w:val="24"/>
          <w:highlight w:val="none"/>
        </w:rPr>
        <w:t>日</w:t>
      </w:r>
      <w:r>
        <w:rPr>
          <w:rFonts w:hint="eastAsia" w:ascii="宋体" w:hAnsi="宋体"/>
          <w:sz w:val="24"/>
          <w:highlight w:val="none"/>
          <w:lang w:eastAsia="zh-CN"/>
        </w:rPr>
        <w:t>；</w:t>
      </w:r>
      <w:r>
        <w:rPr>
          <w:rFonts w:hint="eastAsia" w:ascii="宋体" w:hAnsi="宋体"/>
          <w:sz w:val="24"/>
          <w:highlight w:val="none"/>
        </w:rPr>
        <w:t>参选人对评审结果有异议的，应当在公示期间以书面形式（法定代表人或</w:t>
      </w:r>
      <w:r>
        <w:rPr>
          <w:rFonts w:hint="eastAsia" w:ascii="宋体" w:hAnsi="宋体"/>
          <w:sz w:val="24"/>
          <w:highlight w:val="none"/>
          <w:lang w:eastAsia="zh-CN"/>
        </w:rPr>
        <w:t>委托</w:t>
      </w:r>
      <w:r>
        <w:rPr>
          <w:rFonts w:hint="eastAsia" w:ascii="宋体" w:hAnsi="宋体"/>
          <w:sz w:val="24"/>
          <w:highlight w:val="none"/>
        </w:rPr>
        <w:t>代理人签字并加盖单位公章）提出。</w:t>
      </w:r>
    </w:p>
    <w:p>
      <w:pPr>
        <w:spacing w:line="360" w:lineRule="auto"/>
        <w:rPr>
          <w:rFonts w:hint="eastAsia" w:ascii="宋体" w:hAnsi="宋体"/>
          <w:sz w:val="24"/>
          <w:highlight w:val="none"/>
        </w:rPr>
      </w:pPr>
      <w:r>
        <w:rPr>
          <w:rFonts w:hint="eastAsia" w:ascii="宋体" w:hAnsi="宋体"/>
          <w:sz w:val="24"/>
          <w:highlight w:val="none"/>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ascii="宋体" w:hAnsi="宋体"/>
          <w:b/>
          <w:bCs/>
          <w:sz w:val="24"/>
          <w:highlight w:val="none"/>
        </w:rPr>
      </w:pPr>
      <w:r>
        <w:rPr>
          <w:rFonts w:hint="eastAsia" w:ascii="宋体" w:hAnsi="宋体"/>
          <w:b/>
          <w:bCs/>
          <w:sz w:val="24"/>
          <w:highlight w:val="none"/>
        </w:rPr>
        <w:t>27．最终审查</w:t>
      </w:r>
    </w:p>
    <w:bookmarkEnd w:id="34"/>
    <w:p>
      <w:pPr>
        <w:spacing w:line="360" w:lineRule="auto"/>
        <w:rPr>
          <w:rFonts w:hint="eastAsia" w:ascii="宋体" w:hAnsi="宋体" w:eastAsia="宋体"/>
          <w:sz w:val="24"/>
          <w:highlight w:val="none"/>
          <w:lang w:eastAsia="zh-CN"/>
        </w:rPr>
      </w:pPr>
      <w:r>
        <w:rPr>
          <w:rFonts w:hint="eastAsia" w:ascii="宋体" w:hAnsi="宋体"/>
          <w:sz w:val="24"/>
          <w:highlight w:val="none"/>
        </w:rPr>
        <w:t>27.1 比选人有权对中选候选人进行现场考察和对比复核，如发现存在任何弄虚作假情形的，比选人有权取消其中选资格</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27.2 最终审查工作如需参选人配合，参选人必须无条件配合</w:t>
      </w:r>
      <w:r>
        <w:rPr>
          <w:rFonts w:hint="eastAsia" w:ascii="宋体" w:hAnsi="宋体"/>
          <w:sz w:val="24"/>
          <w:highlight w:val="none"/>
          <w:lang w:eastAsia="zh-CN"/>
        </w:rPr>
        <w:t>；</w:t>
      </w:r>
      <w:r>
        <w:rPr>
          <w:rFonts w:hint="eastAsia" w:ascii="宋体" w:hAnsi="宋体"/>
          <w:sz w:val="24"/>
          <w:highlight w:val="none"/>
        </w:rPr>
        <w:t>否则，比选人有权取消其中选资格</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27.3 如果中选候选人提供虚假材料和文件骗取中选的，比选人有权取消其中选资格。</w:t>
      </w:r>
    </w:p>
    <w:p>
      <w:pPr>
        <w:spacing w:line="360" w:lineRule="auto"/>
        <w:rPr>
          <w:rFonts w:ascii="宋体" w:hAnsi="宋体"/>
          <w:b/>
          <w:bCs/>
          <w:sz w:val="24"/>
          <w:highlight w:val="none"/>
        </w:rPr>
      </w:pPr>
      <w:r>
        <w:rPr>
          <w:rFonts w:hint="eastAsia" w:ascii="宋体" w:hAnsi="宋体"/>
          <w:b/>
          <w:bCs/>
          <w:sz w:val="24"/>
          <w:highlight w:val="none"/>
        </w:rPr>
        <w:t>28.更改实际工作量的权利</w:t>
      </w:r>
    </w:p>
    <w:p>
      <w:pPr>
        <w:spacing w:line="360" w:lineRule="auto"/>
        <w:rPr>
          <w:rFonts w:hint="eastAsia" w:ascii="宋体" w:hAnsi="宋体"/>
          <w:sz w:val="24"/>
          <w:highlight w:val="none"/>
        </w:rPr>
      </w:pPr>
      <w:r>
        <w:rPr>
          <w:rFonts w:hint="eastAsia" w:ascii="宋体" w:hAnsi="宋体"/>
          <w:sz w:val="24"/>
          <w:highlight w:val="none"/>
        </w:rPr>
        <w:t>28.1 比选人有权对“第四章 项目需求”中规定的内容予以增加或减少。</w:t>
      </w:r>
    </w:p>
    <w:p>
      <w:pPr>
        <w:spacing w:line="360" w:lineRule="auto"/>
        <w:rPr>
          <w:rFonts w:hint="eastAsia" w:ascii="宋体" w:hAnsi="宋体"/>
          <w:b/>
          <w:bCs/>
          <w:sz w:val="24"/>
          <w:highlight w:val="none"/>
        </w:rPr>
      </w:pPr>
      <w:r>
        <w:rPr>
          <w:rFonts w:hint="eastAsia" w:ascii="宋体" w:hAnsi="宋体"/>
          <w:b/>
          <w:bCs/>
          <w:sz w:val="24"/>
          <w:highlight w:val="none"/>
        </w:rPr>
        <w:t>29.接受和拒绝任何或所有参选的权利</w:t>
      </w:r>
    </w:p>
    <w:p>
      <w:pPr>
        <w:spacing w:line="360" w:lineRule="auto"/>
        <w:rPr>
          <w:rFonts w:hint="eastAsia" w:ascii="宋体" w:hAnsi="宋体"/>
          <w:sz w:val="24"/>
          <w:highlight w:val="none"/>
        </w:rPr>
      </w:pPr>
      <w:r>
        <w:rPr>
          <w:rFonts w:hint="eastAsia" w:ascii="宋体" w:hAnsi="宋体"/>
          <w:sz w:val="24"/>
          <w:highlight w:val="none"/>
        </w:rPr>
        <w:t>29</w:t>
      </w:r>
      <w:r>
        <w:rPr>
          <w:rFonts w:ascii="宋体" w:hAnsi="宋体"/>
          <w:sz w:val="24"/>
          <w:highlight w:val="none"/>
        </w:rPr>
        <w:t>.1</w:t>
      </w:r>
      <w:r>
        <w:rPr>
          <w:rFonts w:hint="eastAsia" w:ascii="宋体" w:hAnsi="宋体"/>
          <w:sz w:val="24"/>
          <w:highlight w:val="none"/>
        </w:rPr>
        <w:t>比选人保留在任何时候，接受或拒绝任何参选的权利，以及取消比选并拒绝所有参选的权利，对因此而受影响的参选人不承担任何责任。</w:t>
      </w:r>
    </w:p>
    <w:p>
      <w:pPr>
        <w:spacing w:line="360" w:lineRule="auto"/>
        <w:rPr>
          <w:rFonts w:hint="eastAsia" w:ascii="宋体" w:hAnsi="宋体"/>
          <w:b/>
          <w:bCs/>
          <w:sz w:val="24"/>
          <w:highlight w:val="none"/>
        </w:rPr>
      </w:pPr>
      <w:r>
        <w:rPr>
          <w:rFonts w:hint="eastAsia" w:ascii="宋体" w:hAnsi="宋体"/>
          <w:b/>
          <w:bCs/>
          <w:sz w:val="24"/>
          <w:highlight w:val="none"/>
        </w:rPr>
        <w:t>30．中选通知书</w:t>
      </w:r>
    </w:p>
    <w:p>
      <w:pPr>
        <w:spacing w:line="360" w:lineRule="auto"/>
        <w:rPr>
          <w:rFonts w:hint="eastAsia" w:ascii="宋体" w:hAnsi="宋体"/>
          <w:sz w:val="24"/>
          <w:highlight w:val="none"/>
        </w:rPr>
      </w:pPr>
      <w:r>
        <w:rPr>
          <w:rFonts w:ascii="宋体" w:hAnsi="宋体"/>
          <w:sz w:val="24"/>
          <w:highlight w:val="none"/>
        </w:rPr>
        <w:t>3</w:t>
      </w:r>
      <w:r>
        <w:rPr>
          <w:rFonts w:hint="eastAsia" w:ascii="宋体" w:hAnsi="宋体"/>
          <w:sz w:val="24"/>
          <w:highlight w:val="none"/>
        </w:rPr>
        <w:t>0</w:t>
      </w:r>
      <w:r>
        <w:rPr>
          <w:rFonts w:ascii="宋体" w:hAnsi="宋体"/>
          <w:sz w:val="24"/>
          <w:highlight w:val="none"/>
        </w:rPr>
        <w:t>.1</w:t>
      </w:r>
      <w:r>
        <w:rPr>
          <w:rFonts w:hint="eastAsia" w:ascii="宋体" w:hAnsi="宋体"/>
          <w:sz w:val="24"/>
          <w:highlight w:val="none"/>
        </w:rPr>
        <w:t>中选人确定后，招标代理机构向中选人发出中选通知书。</w:t>
      </w:r>
    </w:p>
    <w:p>
      <w:pPr>
        <w:spacing w:line="360" w:lineRule="auto"/>
        <w:rPr>
          <w:rFonts w:hint="eastAsia" w:ascii="宋体" w:hAnsi="宋体"/>
          <w:b/>
          <w:bCs/>
          <w:sz w:val="24"/>
          <w:highlight w:val="none"/>
        </w:rPr>
      </w:pPr>
      <w:r>
        <w:rPr>
          <w:rFonts w:hint="eastAsia" w:ascii="宋体" w:hAnsi="宋体"/>
          <w:b/>
          <w:bCs/>
          <w:sz w:val="24"/>
          <w:highlight w:val="none"/>
        </w:rPr>
        <w:t>31．签订合同</w:t>
      </w:r>
    </w:p>
    <w:p>
      <w:pPr>
        <w:spacing w:line="360" w:lineRule="auto"/>
        <w:rPr>
          <w:rFonts w:hint="eastAsia" w:ascii="宋体" w:hAnsi="宋体" w:eastAsia="宋体"/>
          <w:sz w:val="24"/>
          <w:highlight w:val="none"/>
          <w:lang w:eastAsia="zh-CN"/>
        </w:rPr>
      </w:pPr>
      <w:r>
        <w:rPr>
          <w:rFonts w:hint="eastAsia" w:ascii="宋体" w:hAnsi="宋体"/>
          <w:sz w:val="24"/>
          <w:highlight w:val="none"/>
        </w:rPr>
        <w:t>31.1比选人与中选人将根据《中华人民共和国民法典》的规定，依据比选文件、参选文件、答疑、修改、评审过程中有关文件等签订合同</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31</w:t>
      </w:r>
      <w:r>
        <w:rPr>
          <w:rFonts w:ascii="宋体" w:hAnsi="宋体"/>
          <w:sz w:val="24"/>
          <w:highlight w:val="none"/>
        </w:rPr>
        <w:t>.</w:t>
      </w:r>
      <w:r>
        <w:rPr>
          <w:rFonts w:hint="eastAsia" w:ascii="宋体" w:hAnsi="宋体"/>
          <w:sz w:val="24"/>
          <w:highlight w:val="none"/>
        </w:rPr>
        <w:t>2若中选人接到中选通知书后，借故否认参选时已承诺的条件而拒绝签订合同，比选人将取消其中选资格，并有权根据排名依次确定中选候选人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hint="eastAsia" w:ascii="宋体" w:hAnsi="宋体"/>
          <w:b/>
          <w:bCs/>
          <w:sz w:val="24"/>
          <w:highlight w:val="none"/>
        </w:rPr>
      </w:pPr>
      <w:r>
        <w:rPr>
          <w:rFonts w:hint="eastAsia" w:ascii="宋体" w:hAnsi="宋体"/>
          <w:b/>
          <w:bCs/>
          <w:sz w:val="24"/>
          <w:highlight w:val="none"/>
        </w:rPr>
        <w:t>32．招标代理费</w:t>
      </w:r>
    </w:p>
    <w:p>
      <w:pPr>
        <w:spacing w:line="360" w:lineRule="auto"/>
        <w:rPr>
          <w:rFonts w:hint="eastAsia" w:ascii="宋体" w:hAnsi="宋体" w:eastAsia="宋体"/>
          <w:sz w:val="24"/>
          <w:highlight w:val="none"/>
          <w:lang w:eastAsia="zh-CN"/>
        </w:rPr>
      </w:pPr>
      <w:r>
        <w:rPr>
          <w:rFonts w:hint="eastAsia" w:ascii="宋体" w:hAnsi="宋体" w:eastAsia="宋体" w:cs="Times New Roman"/>
          <w:sz w:val="24"/>
          <w:highlight w:val="none"/>
        </w:rPr>
        <w:t>32.1</w:t>
      </w:r>
      <w:r>
        <w:rPr>
          <w:rFonts w:hint="eastAsia" w:ascii="宋体" w:hAnsi="宋体"/>
          <w:sz w:val="24"/>
          <w:highlight w:val="none"/>
        </w:rPr>
        <w:t>中选人在领取中选通知书时，向招标代理机构一次性支付（代理报酬的金额或收取比例按比选人与招标代理机构签订的《招标代理合同》约定执行）</w:t>
      </w:r>
      <w:r>
        <w:rPr>
          <w:rFonts w:hint="eastAsia" w:ascii="宋体" w:hAnsi="宋体"/>
          <w:sz w:val="24"/>
          <w:highlight w:val="none"/>
          <w:lang w:eastAsia="zh-CN"/>
        </w:rPr>
        <w:t>；</w:t>
      </w:r>
    </w:p>
    <w:p>
      <w:pPr>
        <w:spacing w:line="360" w:lineRule="auto"/>
        <w:rPr>
          <w:highlight w:val="none"/>
        </w:rPr>
      </w:pPr>
      <w:r>
        <w:rPr>
          <w:rFonts w:hint="eastAsia" w:ascii="宋体" w:hAnsi="宋体" w:eastAsia="宋体" w:cs="Times New Roman"/>
          <w:sz w:val="24"/>
          <w:highlight w:val="none"/>
        </w:rPr>
        <w:t>32.2</w:t>
      </w:r>
      <w:r>
        <w:rPr>
          <w:rFonts w:hint="eastAsia"/>
          <w:sz w:val="24"/>
          <w:highlight w:val="none"/>
        </w:rPr>
        <w:t xml:space="preserve"> 招标代理服务费只接受转账、支票、汇票形式。</w:t>
      </w:r>
    </w:p>
    <w:p>
      <w:pPr>
        <w:numPr>
          <w:ilvl w:val="0"/>
          <w:numId w:val="3"/>
        </w:numPr>
        <w:adjustRightInd w:val="0"/>
        <w:snapToGrid w:val="0"/>
        <w:spacing w:line="360" w:lineRule="auto"/>
        <w:ind w:left="1"/>
        <w:jc w:val="center"/>
        <w:rPr>
          <w:rFonts w:hint="eastAsia"/>
          <w:b/>
          <w:sz w:val="24"/>
          <w:highlight w:val="none"/>
        </w:rPr>
      </w:pPr>
      <w:r>
        <w:rPr>
          <w:rFonts w:hint="eastAsia"/>
          <w:b/>
          <w:sz w:val="24"/>
          <w:highlight w:val="none"/>
        </w:rPr>
        <w:t>异议受理</w:t>
      </w:r>
    </w:p>
    <w:p>
      <w:pPr>
        <w:adjustRightInd w:val="0"/>
        <w:snapToGrid w:val="0"/>
        <w:spacing w:line="360" w:lineRule="auto"/>
        <w:rPr>
          <w:rFonts w:hint="eastAsia" w:ascii="宋体" w:hAnsi="宋体"/>
          <w:sz w:val="24"/>
          <w:highlight w:val="none"/>
        </w:rPr>
      </w:pPr>
      <w:r>
        <w:rPr>
          <w:rFonts w:hint="eastAsia"/>
          <w:b/>
          <w:sz w:val="24"/>
          <w:highlight w:val="none"/>
        </w:rPr>
        <w:t>33．异议受理</w:t>
      </w:r>
    </w:p>
    <w:p>
      <w:pPr>
        <w:spacing w:line="360" w:lineRule="auto"/>
        <w:rPr>
          <w:rFonts w:hint="eastAsia" w:ascii="宋体" w:hAnsi="宋体"/>
          <w:sz w:val="24"/>
          <w:highlight w:val="none"/>
        </w:rPr>
      </w:pPr>
      <w:r>
        <w:rPr>
          <w:rFonts w:hint="eastAsia" w:ascii="宋体" w:hAnsi="宋体"/>
          <w:sz w:val="24"/>
          <w:highlight w:val="none"/>
        </w:rPr>
        <w:t>33.1异议受理机构：</w:t>
      </w:r>
      <w:r>
        <w:rPr>
          <w:rFonts w:hint="eastAsia" w:ascii="宋体" w:hAnsi="宋体"/>
          <w:sz w:val="24"/>
          <w:highlight w:val="none"/>
          <w:lang w:eastAsia="zh-CN"/>
        </w:rPr>
        <w:t>江西合安项目管理有限公司</w:t>
      </w:r>
      <w:r>
        <w:rPr>
          <w:rFonts w:hint="eastAsia" w:ascii="宋体" w:hAnsi="宋体"/>
          <w:sz w:val="24"/>
          <w:highlight w:val="none"/>
        </w:rPr>
        <w:t>,电话：</w:t>
      </w:r>
      <w:r>
        <w:rPr>
          <w:rFonts w:hint="eastAsia" w:ascii="宋体" w:hAnsi="宋体" w:cs="宋体"/>
          <w:kern w:val="0"/>
          <w:sz w:val="24"/>
          <w:highlight w:val="none"/>
        </w:rPr>
        <w:t xml:space="preserve"> </w:t>
      </w:r>
      <w:r>
        <w:rPr>
          <w:rFonts w:hint="eastAsia" w:ascii="宋体" w:hAnsi="宋体" w:cs="宋体"/>
          <w:kern w:val="0"/>
          <w:sz w:val="24"/>
          <w:highlight w:val="none"/>
          <w:lang w:eastAsia="zh-CN"/>
        </w:rPr>
        <w:t>13870677558</w:t>
      </w:r>
      <w:r>
        <w:rPr>
          <w:rFonts w:hint="eastAsia" w:ascii="宋体" w:hAnsi="宋体"/>
          <w:sz w:val="24"/>
          <w:highlight w:val="none"/>
        </w:rPr>
        <w:t>。</w:t>
      </w:r>
    </w:p>
    <w:p>
      <w:pPr>
        <w:spacing w:line="360" w:lineRule="auto"/>
        <w:rPr>
          <w:rFonts w:hint="eastAsia" w:ascii="宋体" w:hAnsi="宋体"/>
          <w:sz w:val="24"/>
          <w:highlight w:val="none"/>
        </w:rPr>
      </w:pPr>
      <w:r>
        <w:rPr>
          <w:rFonts w:hint="eastAsia" w:ascii="宋体" w:hAnsi="宋体"/>
          <w:sz w:val="24"/>
          <w:highlight w:val="none"/>
        </w:rPr>
        <w:t>由单位</w:t>
      </w:r>
      <w:r>
        <w:rPr>
          <w:rFonts w:hint="eastAsia" w:ascii="宋体" w:hAnsi="宋体"/>
          <w:sz w:val="24"/>
          <w:highlight w:val="none"/>
          <w:lang w:eastAsia="zh-CN"/>
        </w:rPr>
        <w:t>委托代理人</w:t>
      </w:r>
      <w:r>
        <w:rPr>
          <w:rFonts w:hint="eastAsia" w:ascii="宋体" w:hAnsi="宋体"/>
          <w:sz w:val="24"/>
          <w:highlight w:val="none"/>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line="440" w:lineRule="exact"/>
        <w:ind w:firstLine="643" w:firstLineChars="200"/>
        <w:jc w:val="center"/>
        <w:outlineLvl w:val="0"/>
        <w:rPr>
          <w:rFonts w:hint="eastAsia" w:ascii="宋体" w:hAnsi="宋体" w:cs="宋体"/>
          <w:b/>
          <w:sz w:val="32"/>
          <w:szCs w:val="32"/>
          <w:highlight w:val="none"/>
        </w:rPr>
      </w:pPr>
      <w:bookmarkStart w:id="35" w:name="_Toc540"/>
      <w:bookmarkStart w:id="36" w:name="_Toc4319"/>
      <w:r>
        <w:rPr>
          <w:rFonts w:hint="eastAsia" w:ascii="宋体" w:hAnsi="宋体" w:cs="宋体"/>
          <w:b/>
          <w:sz w:val="32"/>
          <w:szCs w:val="32"/>
          <w:highlight w:val="none"/>
        </w:rPr>
        <w:t>第三章 评审办法</w:t>
      </w:r>
      <w:bookmarkEnd w:id="35"/>
      <w:bookmarkEnd w:id="36"/>
    </w:p>
    <w:p>
      <w:pPr>
        <w:snapToGrid w:val="0"/>
        <w:spacing w:line="460" w:lineRule="exact"/>
        <w:ind w:firstLine="120" w:firstLineChars="50"/>
        <w:rPr>
          <w:rFonts w:hint="eastAsia" w:ascii="宋体" w:hAnsi="宋体"/>
          <w:b/>
          <w:sz w:val="24"/>
          <w:highlight w:val="none"/>
        </w:rPr>
      </w:pPr>
      <w:r>
        <w:rPr>
          <w:rFonts w:hint="eastAsia" w:ascii="宋体" w:hAnsi="宋体"/>
          <w:b/>
          <w:sz w:val="24"/>
          <w:highlight w:val="none"/>
        </w:rPr>
        <w:t>一、开标</w:t>
      </w:r>
    </w:p>
    <w:p>
      <w:pPr>
        <w:snapToGrid w:val="0"/>
        <w:spacing w:line="460" w:lineRule="exact"/>
        <w:ind w:firstLine="120" w:firstLineChars="50"/>
        <w:rPr>
          <w:rFonts w:ascii="宋体" w:hAnsi="宋体"/>
          <w:sz w:val="24"/>
          <w:highlight w:val="none"/>
        </w:rPr>
      </w:pPr>
      <w:r>
        <w:rPr>
          <w:rFonts w:hint="eastAsia" w:ascii="宋体" w:hAnsi="宋体"/>
          <w:sz w:val="24"/>
          <w:highlight w:val="none"/>
        </w:rPr>
        <w:t>比选会议由比选人或招标代理机构主持：</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（1）招标代理机构将在“比选公告”规定的时间和地点组织招标公开比选</w:t>
      </w:r>
      <w:r>
        <w:rPr>
          <w:rFonts w:hint="eastAsia" w:ascii="宋体" w:hAnsi="宋体" w:cs="宋体"/>
          <w:sz w:val="24"/>
          <w:highlight w:val="none"/>
          <w:lang w:eastAsia="zh-CN"/>
        </w:rPr>
        <w:t>；</w:t>
      </w:r>
      <w:r>
        <w:rPr>
          <w:rFonts w:hint="eastAsia" w:ascii="宋体" w:hAnsi="宋体" w:cs="宋体"/>
          <w:sz w:val="24"/>
          <w:highlight w:val="none"/>
        </w:rPr>
        <w:t>开标时邀请所有参选人代表参加。参加开标的代表须携带相关材料参加，并应签名以证明其出席</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（2）参选截止时间前参选人未递交参选文件的，其投标无效</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（3）在比选人的监督下，按开标评标要求的程序进行开标、唱标</w:t>
      </w:r>
      <w:r>
        <w:rPr>
          <w:rFonts w:hint="eastAsia" w:ascii="宋体" w:hAnsi="宋体" w:cs="宋体"/>
          <w:sz w:val="24"/>
          <w:highlight w:val="none"/>
          <w:lang w:eastAsia="zh-CN"/>
        </w:rPr>
        <w:t>；</w:t>
      </w:r>
      <w:r>
        <w:rPr>
          <w:rFonts w:hint="eastAsia" w:ascii="宋体" w:hAnsi="宋体" w:cs="宋体"/>
          <w:sz w:val="24"/>
          <w:highlight w:val="none"/>
        </w:rPr>
        <w:t>开标时，宣读参选人名称、参选价格、比选文件允许提供的参选文件的其他主要内容；未宣读的，在评标时将不予承认</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（4）开标时，开标一览表内容与参选文件中有关明细内容不一致的，以开标一览表为准</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（5）代理机构将做开标记录，记录的内容应包括按规定在开标时宣读的全部内容。</w:t>
      </w:r>
    </w:p>
    <w:p>
      <w:pPr>
        <w:snapToGrid w:val="0"/>
        <w:spacing w:line="460" w:lineRule="exact"/>
        <w:rPr>
          <w:rFonts w:hint="eastAsia" w:ascii="宋体" w:hAnsi="宋体"/>
          <w:b/>
          <w:sz w:val="24"/>
          <w:highlight w:val="none"/>
        </w:rPr>
      </w:pPr>
      <w:r>
        <w:rPr>
          <w:rFonts w:hint="eastAsia" w:ascii="宋体" w:hAnsi="宋体"/>
          <w:b/>
          <w:sz w:val="24"/>
          <w:highlight w:val="none"/>
        </w:rPr>
        <w:t>二、评审</w:t>
      </w:r>
    </w:p>
    <w:p>
      <w:pPr>
        <w:snapToGrid w:val="0"/>
        <w:spacing w:line="460" w:lineRule="exact"/>
        <w:rPr>
          <w:rFonts w:hint="eastAsia" w:ascii="宋体" w:hAnsi="宋体" w:cs="宋体"/>
          <w:sz w:val="24"/>
          <w:highlight w:val="none"/>
        </w:rPr>
      </w:pPr>
      <w:r>
        <w:rPr>
          <w:rFonts w:hint="eastAsia" w:ascii="宋体" w:hAnsi="宋体" w:cs="宋体"/>
          <w:sz w:val="24"/>
          <w:highlight w:val="none"/>
        </w:rPr>
        <w:t>2.1 评审工作</w:t>
      </w:r>
    </w:p>
    <w:p>
      <w:pPr>
        <w:snapToGrid w:val="0"/>
        <w:spacing w:line="460" w:lineRule="exact"/>
        <w:rPr>
          <w:rFonts w:hint="eastAsia" w:ascii="宋体" w:hAnsi="宋体" w:cs="宋体"/>
          <w:sz w:val="24"/>
          <w:highlight w:val="none"/>
        </w:rPr>
      </w:pPr>
      <w:r>
        <w:rPr>
          <w:rFonts w:hint="eastAsia" w:ascii="宋体" w:hAnsi="宋体" w:cs="宋体"/>
          <w:sz w:val="24"/>
          <w:highlight w:val="none"/>
        </w:rPr>
        <w:t>（1）参选人</w:t>
      </w:r>
      <w:r>
        <w:rPr>
          <w:rFonts w:ascii="宋体" w:hAnsi="宋体" w:cs="宋体"/>
          <w:sz w:val="24"/>
          <w:highlight w:val="none"/>
        </w:rPr>
        <w:t>和</w:t>
      </w:r>
      <w:r>
        <w:rPr>
          <w:rFonts w:hint="eastAsia" w:ascii="宋体" w:hAnsi="宋体" w:cs="宋体"/>
          <w:sz w:val="24"/>
          <w:highlight w:val="none"/>
        </w:rPr>
        <w:t>参选文件有下列情况之一者，经比选小组初审后按无效响应处理：</w:t>
      </w:r>
    </w:p>
    <w:p>
      <w:pPr>
        <w:snapToGrid w:val="0"/>
        <w:spacing w:line="460" w:lineRule="exact"/>
        <w:rPr>
          <w:rFonts w:hint="eastAsia" w:ascii="宋体" w:hAnsi="宋体" w:cs="宋体"/>
          <w:sz w:val="24"/>
          <w:highlight w:val="none"/>
        </w:rPr>
      </w:pPr>
      <w:r>
        <w:rPr>
          <w:rFonts w:hint="eastAsia" w:ascii="宋体" w:hAnsi="宋体" w:cs="宋体"/>
          <w:sz w:val="24"/>
          <w:highlight w:val="none"/>
        </w:rPr>
        <w:t>①参选文件有《评标委员会和评标办法暂行规定》九部委令第 23 号第 20 条、第 21 条、第 22 条、第 23 条、第 25 条规定内容的；</w:t>
      </w:r>
    </w:p>
    <w:p>
      <w:pPr>
        <w:pStyle w:val="9"/>
        <w:snapToGrid w:val="0"/>
        <w:spacing w:line="460" w:lineRule="exact"/>
        <w:ind w:firstLine="0" w:firstLineChars="0"/>
        <w:rPr>
          <w:rFonts w:ascii="宋体" w:hAnsi="宋体" w:cs="宋体"/>
          <w:sz w:val="24"/>
          <w:highlight w:val="none"/>
        </w:rPr>
      </w:pPr>
      <w:r>
        <w:rPr>
          <w:rFonts w:ascii="宋体" w:hAnsi="宋体" w:cs="宋体"/>
          <w:sz w:val="24"/>
          <w:highlight w:val="none"/>
        </w:rPr>
        <w:t>②法律、法规规定的其他否决投标情形。</w:t>
      </w:r>
    </w:p>
    <w:p>
      <w:pPr>
        <w:snapToGrid w:val="0"/>
        <w:spacing w:line="460" w:lineRule="exact"/>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参选人</w:t>
      </w:r>
      <w:r>
        <w:rPr>
          <w:rFonts w:ascii="宋体" w:hAnsi="宋体" w:cs="宋体"/>
          <w:sz w:val="24"/>
          <w:highlight w:val="none"/>
        </w:rPr>
        <w:t>和</w:t>
      </w:r>
      <w:r>
        <w:rPr>
          <w:rFonts w:hint="eastAsia" w:ascii="宋体" w:hAnsi="宋体" w:cs="宋体"/>
          <w:sz w:val="24"/>
          <w:highlight w:val="none"/>
        </w:rPr>
        <w:t>参选文件</w:t>
      </w:r>
      <w:r>
        <w:rPr>
          <w:rFonts w:ascii="宋体" w:hAnsi="宋体" w:cs="宋体"/>
          <w:sz w:val="24"/>
          <w:highlight w:val="none"/>
        </w:rPr>
        <w:t>有下列情况之一的，取消</w:t>
      </w:r>
      <w:r>
        <w:rPr>
          <w:rFonts w:hint="eastAsia" w:ascii="宋体" w:hAnsi="宋体" w:cs="宋体"/>
          <w:sz w:val="24"/>
          <w:highlight w:val="none"/>
        </w:rPr>
        <w:t>参选</w:t>
      </w:r>
      <w:r>
        <w:rPr>
          <w:rFonts w:ascii="宋体" w:hAnsi="宋体" w:cs="宋体"/>
          <w:sz w:val="24"/>
          <w:highlight w:val="none"/>
        </w:rPr>
        <w:t>资格，中</w:t>
      </w:r>
      <w:r>
        <w:rPr>
          <w:rFonts w:hint="eastAsia" w:ascii="宋体" w:hAnsi="宋体" w:cs="宋体"/>
          <w:sz w:val="24"/>
          <w:highlight w:val="none"/>
        </w:rPr>
        <w:t>选</w:t>
      </w:r>
      <w:r>
        <w:rPr>
          <w:rFonts w:ascii="宋体" w:hAnsi="宋体" w:cs="宋体"/>
          <w:sz w:val="24"/>
          <w:highlight w:val="none"/>
        </w:rPr>
        <w:t>的取消中选资格：</w:t>
      </w:r>
    </w:p>
    <w:p>
      <w:pPr>
        <w:snapToGrid w:val="0"/>
        <w:spacing w:line="460" w:lineRule="exact"/>
        <w:rPr>
          <w:rFonts w:ascii="宋体" w:hAnsi="宋体" w:cs="宋体"/>
          <w:sz w:val="24"/>
          <w:highlight w:val="none"/>
        </w:rPr>
      </w:pPr>
      <w:r>
        <w:rPr>
          <w:rFonts w:ascii="宋体" w:hAnsi="宋体" w:cs="宋体"/>
          <w:sz w:val="24"/>
          <w:highlight w:val="none"/>
        </w:rPr>
        <w:t>①有违反《中华人民共和国招标投标法》 第 50 条、第 52 条、第53条、 第54条、第 55 条、第 57 条规定的；</w:t>
      </w:r>
    </w:p>
    <w:p>
      <w:pPr>
        <w:snapToGrid w:val="0"/>
        <w:spacing w:line="460" w:lineRule="exact"/>
        <w:rPr>
          <w:rFonts w:ascii="宋体" w:hAnsi="宋体" w:cs="宋体"/>
          <w:sz w:val="24"/>
          <w:highlight w:val="none"/>
        </w:rPr>
      </w:pPr>
      <w:r>
        <w:rPr>
          <w:rFonts w:ascii="宋体" w:hAnsi="宋体" w:cs="宋体"/>
          <w:sz w:val="24"/>
          <w:highlight w:val="none"/>
        </w:rPr>
        <w:t>（3）委托代理人、</w:t>
      </w:r>
      <w:r>
        <w:rPr>
          <w:rFonts w:hint="eastAsia" w:ascii="宋体" w:hAnsi="宋体" w:cs="宋体"/>
          <w:sz w:val="24"/>
          <w:highlight w:val="none"/>
        </w:rPr>
        <w:t>参选文件</w:t>
      </w:r>
      <w:r>
        <w:rPr>
          <w:rFonts w:ascii="宋体" w:hAnsi="宋体" w:cs="宋体"/>
          <w:sz w:val="24"/>
          <w:highlight w:val="none"/>
        </w:rPr>
        <w:t>有下列情况之一者，比选人或者招标代理机构应当拒收或者退回参选</w:t>
      </w:r>
      <w:r>
        <w:rPr>
          <w:rFonts w:hint="eastAsia" w:ascii="宋体" w:hAnsi="宋体" w:cs="宋体"/>
          <w:sz w:val="24"/>
          <w:highlight w:val="none"/>
        </w:rPr>
        <w:t>文件</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①参选</w:t>
      </w:r>
      <w:r>
        <w:rPr>
          <w:rFonts w:hint="eastAsia" w:ascii="宋体" w:hAnsi="宋体" w:cs="宋体"/>
          <w:sz w:val="24"/>
          <w:highlight w:val="none"/>
        </w:rPr>
        <w:t>文件</w:t>
      </w:r>
      <w:r>
        <w:rPr>
          <w:rFonts w:ascii="宋体" w:hAnsi="宋体" w:cs="宋体"/>
          <w:sz w:val="24"/>
          <w:highlight w:val="none"/>
        </w:rPr>
        <w:t>逾期送达的或者未送达指定地点的；</w:t>
      </w:r>
    </w:p>
    <w:p>
      <w:pPr>
        <w:snapToGrid w:val="0"/>
        <w:spacing w:line="460" w:lineRule="exact"/>
        <w:rPr>
          <w:rFonts w:ascii="宋体" w:hAnsi="宋体" w:cs="宋体"/>
          <w:sz w:val="24"/>
          <w:highlight w:val="none"/>
        </w:rPr>
      </w:pPr>
      <w:r>
        <w:rPr>
          <w:rFonts w:ascii="宋体" w:hAnsi="宋体" w:cs="宋体"/>
          <w:sz w:val="24"/>
          <w:highlight w:val="none"/>
        </w:rPr>
        <w:t>②参选</w:t>
      </w:r>
      <w:r>
        <w:rPr>
          <w:rFonts w:hint="eastAsia" w:ascii="宋体" w:hAnsi="宋体" w:cs="宋体"/>
          <w:sz w:val="24"/>
          <w:highlight w:val="none"/>
        </w:rPr>
        <w:t>文件</w:t>
      </w:r>
      <w:r>
        <w:rPr>
          <w:rFonts w:ascii="宋体" w:hAnsi="宋体" w:cs="宋体"/>
          <w:sz w:val="24"/>
          <w:highlight w:val="none"/>
        </w:rPr>
        <w:t>未按</w:t>
      </w:r>
      <w:r>
        <w:rPr>
          <w:rFonts w:hint="eastAsia" w:ascii="宋体" w:hAnsi="宋体" w:cs="宋体"/>
          <w:sz w:val="24"/>
          <w:highlight w:val="none"/>
        </w:rPr>
        <w:t>比选</w:t>
      </w:r>
      <w:r>
        <w:rPr>
          <w:rFonts w:ascii="宋体" w:hAnsi="宋体" w:cs="宋体"/>
          <w:sz w:val="24"/>
          <w:highlight w:val="none"/>
        </w:rPr>
        <w:t>文件要求密封的；</w:t>
      </w:r>
    </w:p>
    <w:p>
      <w:pPr>
        <w:snapToGrid w:val="0"/>
        <w:spacing w:line="460" w:lineRule="exact"/>
        <w:rPr>
          <w:rFonts w:ascii="宋体" w:hAnsi="宋体" w:cs="宋体"/>
          <w:sz w:val="24"/>
          <w:highlight w:val="none"/>
        </w:rPr>
      </w:pPr>
      <w:r>
        <w:rPr>
          <w:rFonts w:ascii="宋体" w:hAnsi="宋体" w:cs="宋体"/>
          <w:sz w:val="24"/>
          <w:highlight w:val="none"/>
        </w:rPr>
        <w:t>（4）参选</w:t>
      </w:r>
      <w:r>
        <w:rPr>
          <w:rFonts w:hint="eastAsia" w:ascii="宋体" w:hAnsi="宋体" w:cs="宋体"/>
          <w:sz w:val="24"/>
          <w:highlight w:val="none"/>
        </w:rPr>
        <w:t>文件</w:t>
      </w:r>
      <w:r>
        <w:rPr>
          <w:rFonts w:ascii="宋体" w:hAnsi="宋体" w:cs="宋体"/>
          <w:sz w:val="24"/>
          <w:highlight w:val="none"/>
        </w:rPr>
        <w:t>有下列情况者经</w:t>
      </w:r>
      <w:r>
        <w:rPr>
          <w:rFonts w:hint="eastAsia" w:ascii="宋体" w:hAnsi="宋体" w:cs="宋体"/>
          <w:sz w:val="24"/>
          <w:highlight w:val="none"/>
        </w:rPr>
        <w:t>比选</w:t>
      </w:r>
      <w:r>
        <w:rPr>
          <w:rFonts w:ascii="宋体" w:hAnsi="宋体" w:cs="宋体"/>
          <w:sz w:val="24"/>
          <w:highlight w:val="none"/>
        </w:rPr>
        <w:t>小组初审后按无效</w:t>
      </w:r>
      <w:r>
        <w:rPr>
          <w:rFonts w:hint="eastAsia" w:ascii="宋体" w:hAnsi="宋体" w:cs="宋体"/>
          <w:sz w:val="24"/>
          <w:highlight w:val="none"/>
        </w:rPr>
        <w:t>响应</w:t>
      </w:r>
      <w:r>
        <w:rPr>
          <w:rFonts w:ascii="宋体" w:hAnsi="宋体" w:cs="宋体"/>
          <w:sz w:val="24"/>
          <w:highlight w:val="none"/>
        </w:rPr>
        <w:t>处理：</w:t>
      </w:r>
    </w:p>
    <w:p>
      <w:pPr>
        <w:snapToGrid w:val="0"/>
        <w:spacing w:line="460" w:lineRule="exact"/>
        <w:rPr>
          <w:rFonts w:ascii="宋体" w:hAnsi="宋体" w:cs="宋体"/>
          <w:sz w:val="24"/>
          <w:highlight w:val="none"/>
        </w:rPr>
      </w:pPr>
      <w:r>
        <w:rPr>
          <w:rFonts w:ascii="宋体" w:hAnsi="宋体" w:cs="宋体"/>
          <w:sz w:val="24"/>
          <w:highlight w:val="none"/>
        </w:rPr>
        <w:t>①</w:t>
      </w:r>
      <w:r>
        <w:rPr>
          <w:rFonts w:hint="eastAsia" w:ascii="宋体" w:hAnsi="宋体" w:cs="宋体"/>
          <w:sz w:val="24"/>
          <w:highlight w:val="none"/>
        </w:rPr>
        <w:t>参选文件</w:t>
      </w:r>
      <w:r>
        <w:rPr>
          <w:rFonts w:ascii="宋体" w:hAnsi="宋体" w:cs="宋体"/>
          <w:sz w:val="24"/>
          <w:highlight w:val="none"/>
        </w:rPr>
        <w:t>的</w:t>
      </w:r>
      <w:r>
        <w:rPr>
          <w:rFonts w:hint="eastAsia" w:ascii="宋体" w:hAnsi="宋体" w:cs="宋体"/>
          <w:sz w:val="24"/>
          <w:highlight w:val="none"/>
        </w:rPr>
        <w:t>未按文件要求</w:t>
      </w:r>
      <w:r>
        <w:rPr>
          <w:rFonts w:ascii="宋体" w:hAnsi="宋体" w:cs="宋体"/>
          <w:sz w:val="24"/>
          <w:highlight w:val="none"/>
        </w:rPr>
        <w:t>密封的；</w:t>
      </w:r>
    </w:p>
    <w:p>
      <w:pPr>
        <w:snapToGrid w:val="0"/>
        <w:spacing w:line="460" w:lineRule="exact"/>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比选</w:t>
      </w:r>
      <w:r>
        <w:rPr>
          <w:rFonts w:ascii="宋体" w:hAnsi="宋体" w:cs="宋体"/>
          <w:sz w:val="24"/>
          <w:highlight w:val="none"/>
        </w:rPr>
        <w:t>人约定的废标、无效标、拒收条款：</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（6） 法律、法规、规章规定的其他重大偏差。</w:t>
      </w:r>
    </w:p>
    <w:p>
      <w:pPr>
        <w:snapToGrid w:val="0"/>
        <w:spacing w:line="460" w:lineRule="exact"/>
        <w:rPr>
          <w:rFonts w:ascii="宋体" w:hAnsi="宋体" w:cs="宋体"/>
          <w:sz w:val="24"/>
          <w:highlight w:val="none"/>
        </w:rPr>
      </w:pPr>
      <w:r>
        <w:rPr>
          <w:rFonts w:ascii="宋体" w:hAnsi="宋体" w:cs="宋体"/>
          <w:sz w:val="24"/>
          <w:highlight w:val="none"/>
        </w:rPr>
        <w:t>非重大偏差的其他偏差均属于细微偏差。</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2.3 比选过程发生争议时，由</w:t>
      </w:r>
      <w:r>
        <w:rPr>
          <w:rFonts w:hint="eastAsia" w:ascii="宋体" w:hAnsi="宋体" w:cs="宋体"/>
          <w:sz w:val="24"/>
          <w:highlight w:val="none"/>
          <w:lang w:eastAsia="zh-CN"/>
        </w:rPr>
        <w:t>比选小组</w:t>
      </w:r>
      <w:r>
        <w:rPr>
          <w:rFonts w:hint="eastAsia" w:ascii="宋体" w:hAnsi="宋体" w:cs="宋体"/>
          <w:sz w:val="24"/>
          <w:highlight w:val="none"/>
        </w:rPr>
        <w:t>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宋体" w:hAnsi="宋体"/>
          <w:b/>
          <w:bCs/>
          <w:sz w:val="24"/>
          <w:highlight w:val="none"/>
        </w:rPr>
      </w:pPr>
      <w:r>
        <w:rPr>
          <w:rFonts w:hint="eastAsia" w:ascii="宋体" w:hAnsi="宋体"/>
          <w:b/>
          <w:bCs/>
          <w:sz w:val="24"/>
          <w:highlight w:val="none"/>
        </w:rPr>
        <w:t>三、评审办法</w:t>
      </w:r>
    </w:p>
    <w:p>
      <w:pPr>
        <w:pStyle w:val="23"/>
        <w:rPr>
          <w:rFonts w:hint="eastAsia"/>
          <w:highlight w:val="none"/>
        </w:rPr>
      </w:pPr>
    </w:p>
    <w:p>
      <w:pPr>
        <w:pStyle w:val="2"/>
        <w:snapToGrid w:val="0"/>
        <w:spacing w:line="460" w:lineRule="exact"/>
        <w:ind w:firstLine="360" w:firstLineChars="150"/>
        <w:rPr>
          <w:rFonts w:hint="eastAsia" w:ascii="宋体" w:hAnsi="宋体" w:eastAsia="宋体" w:cs="宋体"/>
          <w:kern w:val="2"/>
          <w:sz w:val="24"/>
          <w:szCs w:val="24"/>
        </w:rPr>
      </w:pPr>
      <w:bookmarkStart w:id="37" w:name="_Toc6650"/>
      <w:bookmarkStart w:id="38" w:name="_Toc29969"/>
      <w:r>
        <w:rPr>
          <w:rFonts w:hint="eastAsia" w:ascii="宋体" w:hAnsi="宋体" w:eastAsia="宋体" w:cs="宋体"/>
          <w:kern w:val="2"/>
          <w:sz w:val="24"/>
          <w:szCs w:val="24"/>
        </w:rPr>
        <w:t>（一）比选小组将按照规定</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仅对确定为实质上响应比选文件要求的参选文件进行评价和比较</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评</w:t>
      </w:r>
      <w:r>
        <w:rPr>
          <w:rFonts w:hint="eastAsia" w:ascii="宋体" w:hAnsi="宋体" w:eastAsia="宋体" w:cs="宋体"/>
          <w:kern w:val="2"/>
          <w:sz w:val="24"/>
          <w:szCs w:val="24"/>
          <w:lang w:eastAsia="zh-CN"/>
        </w:rPr>
        <w:t>审</w:t>
      </w:r>
      <w:r>
        <w:rPr>
          <w:rFonts w:hint="eastAsia" w:ascii="宋体" w:hAnsi="宋体" w:eastAsia="宋体" w:cs="宋体"/>
          <w:kern w:val="2"/>
          <w:sz w:val="24"/>
          <w:szCs w:val="24"/>
        </w:rPr>
        <w:t>方法：综合评分法</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在参选人的参选文件最大限度地满足比选文件实质性要求的前提下，比选小组根据综合评分法原则进行评分，价格</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0分、商务</w:t>
      </w:r>
      <w:r>
        <w:rPr>
          <w:rFonts w:hint="eastAsia" w:ascii="宋体" w:hAnsi="宋体" w:eastAsia="宋体" w:cs="宋体"/>
          <w:kern w:val="2"/>
          <w:sz w:val="24"/>
          <w:szCs w:val="24"/>
          <w:lang w:val="en-US" w:eastAsia="zh-CN"/>
        </w:rPr>
        <w:t>45</w:t>
      </w:r>
      <w:r>
        <w:rPr>
          <w:rFonts w:hint="eastAsia" w:ascii="宋体" w:hAnsi="宋体" w:eastAsia="宋体" w:cs="宋体"/>
          <w:kern w:val="2"/>
          <w:sz w:val="24"/>
          <w:szCs w:val="24"/>
        </w:rPr>
        <w:t>分、技术</w:t>
      </w:r>
      <w:r>
        <w:rPr>
          <w:rFonts w:hint="eastAsia" w:ascii="宋体" w:hAnsi="宋体" w:eastAsia="宋体" w:cs="宋体"/>
          <w:kern w:val="2"/>
          <w:sz w:val="24"/>
          <w:szCs w:val="24"/>
          <w:lang w:val="en-US" w:eastAsia="zh-CN"/>
        </w:rPr>
        <w:t>45</w:t>
      </w:r>
      <w:r>
        <w:rPr>
          <w:rFonts w:hint="eastAsia" w:ascii="宋体" w:hAnsi="宋体" w:eastAsia="宋体" w:cs="宋体"/>
          <w:kern w:val="2"/>
          <w:sz w:val="24"/>
          <w:szCs w:val="24"/>
        </w:rPr>
        <w:t>分。具体内容详见“评标标准”。</w:t>
      </w:r>
    </w:p>
    <w:p>
      <w:pPr>
        <w:pStyle w:val="2"/>
        <w:snapToGrid w:val="0"/>
        <w:spacing w:line="46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（二）评标细则：</w:t>
      </w:r>
    </w:p>
    <w:tbl>
      <w:tblPr>
        <w:tblStyle w:val="25"/>
        <w:tblpPr w:leftFromText="180" w:rightFromText="180" w:vertAnchor="text" w:horzAnchor="page" w:tblpX="1075" w:tblpY="468"/>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6672"/>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0" w:type="dxa"/>
            <w:gridSpan w:val="3"/>
            <w:noWrap w:val="0"/>
            <w:vAlign w:val="center"/>
          </w:tcPr>
          <w:p>
            <w:pPr>
              <w:spacing w:line="300" w:lineRule="exact"/>
              <w:jc w:val="center"/>
              <w:rPr>
                <w:rFonts w:hint="eastAsia" w:ascii="宋体" w:hAnsi="宋体" w:eastAsia="宋体" w:cs="宋体"/>
                <w:b/>
                <w:sz w:val="24"/>
              </w:rPr>
            </w:pPr>
            <w:r>
              <w:rPr>
                <w:rFonts w:hint="eastAsia" w:ascii="宋体" w:hAnsi="宋体" w:eastAsia="宋体" w:cs="宋体"/>
                <w:b/>
                <w:sz w:val="24"/>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1" w:type="dxa"/>
            <w:noWrap w:val="0"/>
            <w:vAlign w:val="center"/>
          </w:tcPr>
          <w:p>
            <w:pPr>
              <w:spacing w:line="300" w:lineRule="exact"/>
              <w:jc w:val="center"/>
              <w:rPr>
                <w:rFonts w:hint="eastAsia" w:ascii="宋体" w:hAnsi="宋体" w:eastAsia="宋体" w:cs="宋体"/>
                <w:b/>
                <w:sz w:val="24"/>
              </w:rPr>
            </w:pPr>
            <w:r>
              <w:rPr>
                <w:rFonts w:hint="eastAsia" w:ascii="宋体" w:hAnsi="宋体" w:eastAsia="宋体" w:cs="宋体"/>
                <w:b/>
                <w:sz w:val="24"/>
              </w:rPr>
              <w:t>评审点</w:t>
            </w:r>
          </w:p>
        </w:tc>
        <w:tc>
          <w:tcPr>
            <w:tcW w:w="6672" w:type="dxa"/>
            <w:noWrap w:val="0"/>
            <w:vAlign w:val="center"/>
          </w:tcPr>
          <w:p>
            <w:pPr>
              <w:spacing w:line="300" w:lineRule="exact"/>
              <w:jc w:val="center"/>
              <w:rPr>
                <w:rFonts w:hint="eastAsia" w:ascii="宋体" w:hAnsi="宋体" w:eastAsia="宋体" w:cs="宋体"/>
                <w:b/>
                <w:sz w:val="24"/>
              </w:rPr>
            </w:pPr>
            <w:r>
              <w:rPr>
                <w:rFonts w:hint="eastAsia" w:ascii="宋体" w:hAnsi="宋体" w:eastAsia="宋体" w:cs="宋体"/>
                <w:b/>
                <w:sz w:val="24"/>
              </w:rPr>
              <w:t>评审内容</w:t>
            </w:r>
          </w:p>
        </w:tc>
        <w:tc>
          <w:tcPr>
            <w:tcW w:w="1487" w:type="dxa"/>
            <w:vMerge w:val="restart"/>
            <w:noWrap w:val="0"/>
            <w:vAlign w:val="center"/>
          </w:tcPr>
          <w:p>
            <w:pPr>
              <w:spacing w:line="300" w:lineRule="exact"/>
              <w:jc w:val="center"/>
              <w:rPr>
                <w:rFonts w:hint="eastAsia" w:ascii="宋体" w:hAnsi="宋体" w:eastAsia="宋体" w:cs="宋体"/>
                <w:b/>
                <w:sz w:val="24"/>
              </w:rPr>
            </w:pPr>
            <w:r>
              <w:rPr>
                <w:rFonts w:hint="eastAsia" w:ascii="宋体" w:hAnsi="宋体" w:eastAsia="宋体" w:cs="宋体"/>
                <w:b/>
                <w:sz w:val="24"/>
              </w:rPr>
              <w:t>符合性评审，不符合</w:t>
            </w:r>
            <w:r>
              <w:rPr>
                <w:rFonts w:hint="eastAsia" w:ascii="宋体" w:hAnsi="宋体" w:eastAsia="宋体" w:cs="宋体"/>
                <w:b/>
                <w:sz w:val="24"/>
                <w:lang w:eastAsia="zh-CN"/>
              </w:rPr>
              <w:t>参选</w:t>
            </w:r>
            <w:r>
              <w:rPr>
                <w:rFonts w:hint="eastAsia" w:ascii="宋体" w:hAnsi="宋体" w:eastAsia="宋体" w:cs="宋体"/>
                <w:b/>
                <w:sz w:val="24"/>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1" w:type="dxa"/>
            <w:tcBorders>
              <w:bottom w:val="single" w:color="auto" w:sz="4" w:space="0"/>
            </w:tcBorders>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参选人</w:t>
            </w:r>
          </w:p>
          <w:p>
            <w:pPr>
              <w:spacing w:line="300" w:lineRule="exact"/>
              <w:jc w:val="center"/>
              <w:rPr>
                <w:rFonts w:hint="eastAsia" w:ascii="宋体" w:hAnsi="宋体" w:eastAsia="宋体" w:cs="宋体"/>
                <w:sz w:val="24"/>
              </w:rPr>
            </w:pPr>
            <w:r>
              <w:rPr>
                <w:rFonts w:hint="eastAsia" w:ascii="宋体" w:hAnsi="宋体" w:eastAsia="宋体" w:cs="宋体"/>
                <w:sz w:val="24"/>
              </w:rPr>
              <w:t>资格条件</w:t>
            </w:r>
          </w:p>
          <w:p>
            <w:pPr>
              <w:spacing w:line="300" w:lineRule="exact"/>
              <w:jc w:val="center"/>
              <w:rPr>
                <w:rFonts w:hint="eastAsia" w:ascii="宋体" w:hAnsi="宋体" w:eastAsia="宋体" w:cs="宋体"/>
                <w:sz w:val="24"/>
              </w:rPr>
            </w:pPr>
          </w:p>
        </w:tc>
        <w:tc>
          <w:tcPr>
            <w:tcW w:w="6672"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具有独立承担民事责任的能力；</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ascii="宋体" w:hAnsi="宋体" w:eastAsia="宋体" w:cs="宋体"/>
              </w:rPr>
            </w:pPr>
            <w:r>
              <w:rPr>
                <w:rFonts w:hint="eastAsia" w:ascii="宋体" w:hAnsi="宋体" w:eastAsia="宋体" w:cs="宋体"/>
              </w:rPr>
              <w:t>评审依据：营业执照或事业单位法人证书复印件加盖公章</w:t>
            </w:r>
            <w:r>
              <w:rPr>
                <w:rFonts w:hint="eastAsia" w:ascii="宋体" w:hAnsi="宋体" w:eastAsia="宋体" w:cs="宋体"/>
                <w:lang w:eastAsia="zh-CN"/>
              </w:rPr>
              <w:t>，如分公司参与投标的，必须提供总公司授权分公司投标的授权函</w:t>
            </w:r>
            <w:r>
              <w:rPr>
                <w:rFonts w:hint="eastAsia" w:ascii="宋体" w:hAnsi="宋体" w:eastAsia="宋体" w:cs="宋体"/>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具有良好的商业信誉和健全的财务会计制度；</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ascii="宋体" w:hAnsi="宋体" w:eastAsia="宋体" w:cs="宋体"/>
              </w:rPr>
            </w:pPr>
            <w:r>
              <w:rPr>
                <w:rFonts w:hint="eastAsia" w:ascii="宋体" w:hAnsi="宋体" w:eastAsia="宋体" w:cs="宋体"/>
              </w:rPr>
              <w:t>评审依据：提供202</w:t>
            </w:r>
            <w:r>
              <w:rPr>
                <w:rFonts w:hint="eastAsia" w:ascii="宋体" w:hAnsi="宋体" w:eastAsia="宋体" w:cs="宋体"/>
                <w:lang w:val="en-US" w:eastAsia="zh-CN"/>
              </w:rPr>
              <w:t>1</w:t>
            </w:r>
            <w:r>
              <w:rPr>
                <w:rFonts w:hint="eastAsia" w:ascii="宋体" w:hAnsi="宋体" w:eastAsia="宋体" w:cs="宋体"/>
              </w:rPr>
              <w:t>年度或202</w:t>
            </w:r>
            <w:r>
              <w:rPr>
                <w:rFonts w:hint="eastAsia" w:ascii="宋体" w:hAnsi="宋体" w:eastAsia="宋体" w:cs="宋体"/>
                <w:lang w:val="en-US" w:eastAsia="zh-CN"/>
              </w:rPr>
              <w:t>2</w:t>
            </w:r>
            <w:r>
              <w:rPr>
                <w:rFonts w:hint="eastAsia" w:ascii="宋体" w:hAnsi="宋体" w:eastAsia="宋体" w:cs="宋体"/>
              </w:rPr>
              <w:t>年度财务审计报告或开标前20天内基本开户行开具的资信证明或提供开标前一个月财务报表（包含资产负债表、利润表、现金流量表）或提供承诺函（详见第六章6-1）。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具有履行合同所必需的</w:t>
            </w:r>
            <w:r>
              <w:rPr>
                <w:rFonts w:hint="eastAsia" w:ascii="宋体" w:hAnsi="宋体" w:eastAsia="宋体" w:cs="宋体"/>
                <w:lang w:eastAsia="zh-CN"/>
              </w:rPr>
              <w:t>设备</w:t>
            </w:r>
            <w:r>
              <w:rPr>
                <w:rFonts w:hint="eastAsia" w:ascii="宋体" w:hAnsi="宋体" w:eastAsia="宋体" w:cs="宋体"/>
              </w:rPr>
              <w:t>和专业技术能力；</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ascii="宋体" w:hAnsi="宋体" w:eastAsia="宋体" w:cs="宋体"/>
                <w:lang w:eastAsia="zh-CN"/>
              </w:rPr>
            </w:pPr>
            <w:r>
              <w:rPr>
                <w:rFonts w:hint="eastAsia" w:ascii="宋体" w:hAnsi="宋体" w:eastAsia="宋体" w:cs="宋体"/>
              </w:rPr>
              <w:t>评审依据：提供承诺函（详见第六章6-2）</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有依法缴纳税收和社会保障资金的良好记录；</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ascii="宋体" w:hAnsi="宋体" w:eastAsia="宋体" w:cs="宋体"/>
              </w:rPr>
            </w:pPr>
            <w:r>
              <w:rPr>
                <w:rFonts w:hint="eastAsia" w:ascii="宋体" w:hAnsi="宋体" w:eastAsia="宋体" w:cs="宋体"/>
              </w:rPr>
              <w:t>评审依据：提供开标前六个月(不含开标当月)任意一个月的税收及社保缴纳凭证(该项网上查询打印纸质材料加盖公章可作原件使用)或提供承诺函（第六章详见6-3）。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rPr>
              <w:t xml:space="preserve">参加比选活动前三年内，在经营活动中没有重大违法记录； </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ascii="宋体" w:hAnsi="宋体" w:eastAsia="宋体" w:cs="宋体"/>
                <w:lang w:eastAsia="zh-CN"/>
              </w:rPr>
            </w:pPr>
            <w:r>
              <w:rPr>
                <w:rFonts w:hint="eastAsia" w:ascii="宋体" w:hAnsi="宋体" w:eastAsia="宋体" w:cs="宋体"/>
              </w:rPr>
              <w:t xml:space="preserve">评审依据：提供声明函（详见第六章6-4）。                                     </w:t>
            </w:r>
            <w:r>
              <w:rPr>
                <w:rFonts w:hint="eastAsia" w:ascii="宋体" w:hAnsi="宋体" w:eastAsia="宋体" w:cs="宋体"/>
                <w:lang w:val="en-US" w:eastAsia="zh-CN"/>
              </w:rPr>
              <w:t>6</w:t>
            </w:r>
            <w:r>
              <w:rPr>
                <w:rFonts w:hint="eastAsia" w:ascii="宋体" w:hAnsi="宋体" w:eastAsia="宋体" w:cs="宋体"/>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p>
          <w:p>
            <w:pPr>
              <w:keepNext w:val="0"/>
              <w:keepLines w:val="0"/>
              <w:pageBreakBefore w:val="0"/>
              <w:kinsoku/>
              <w:wordWrap/>
              <w:overflowPunct/>
              <w:topLinePunct w:val="0"/>
              <w:autoSpaceDE/>
              <w:autoSpaceDN/>
              <w:bidi w:val="0"/>
              <w:adjustRightInd/>
              <w:snapToGrid w:val="0"/>
              <w:spacing w:line="240" w:lineRule="auto"/>
              <w:ind w:right="-56" w:rightChars="0"/>
              <w:jc w:val="left"/>
              <w:textAlignment w:val="auto"/>
              <w:rPr>
                <w:rFonts w:hint="eastAsia" w:ascii="宋体" w:hAnsi="宋体" w:eastAsia="宋体" w:cs="宋体"/>
              </w:rPr>
            </w:pPr>
            <w:r>
              <w:rPr>
                <w:rFonts w:hint="eastAsia" w:ascii="宋体" w:hAnsi="宋体" w:eastAsia="宋体" w:cs="宋体"/>
              </w:rPr>
              <w:t>评审依据：提供信用中国及中国政府采购网相关内容查询截图打印加盖公章(该项网上查询打印纸质材料加盖公章可作原件使用)。</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ascii="宋体" w:hAnsi="宋体" w:eastAsia="宋体" w:cs="宋体"/>
                <w:lang w:eastAsia="zh-CN"/>
              </w:rPr>
            </w:pP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授权委托书及本人身份证(如法人到场提供身份证及法定代表人身份证明书)</w:t>
            </w:r>
            <w:r>
              <w:rPr>
                <w:rFonts w:hint="eastAsia" w:ascii="宋体" w:hAnsi="宋体" w:eastAsia="宋体" w:cs="宋体"/>
                <w:lang w:eastAsia="zh-CN"/>
              </w:rPr>
              <w:t>；</w:t>
            </w:r>
            <w:r>
              <w:rPr>
                <w:rFonts w:hint="eastAsia" w:ascii="宋体" w:hAnsi="宋体" w:eastAsia="宋体" w:cs="宋体"/>
              </w:rPr>
              <w:t xml:space="preserve">                                                                  </w:t>
            </w:r>
          </w:p>
          <w:p>
            <w:pPr>
              <w:pStyle w:val="17"/>
              <w:numPr>
                <w:ilvl w:val="0"/>
                <w:numId w:val="0"/>
              </w:numPr>
              <w:spacing w:line="240" w:lineRule="auto"/>
              <w:ind w:leftChars="0"/>
              <w:rPr>
                <w:rFonts w:hint="eastAsia" w:ascii="宋体" w:hAnsi="宋体" w:eastAsia="宋体" w:cs="宋体"/>
                <w:lang w:eastAsia="zh-CN"/>
              </w:rPr>
            </w:pPr>
          </w:p>
        </w:tc>
        <w:tc>
          <w:tcPr>
            <w:tcW w:w="1487" w:type="dxa"/>
            <w:vMerge w:val="continue"/>
            <w:tcBorders>
              <w:bottom w:val="single" w:color="auto" w:sz="4" w:space="0"/>
            </w:tcBorders>
            <w:noWrap w:val="0"/>
            <w:vAlign w:val="top"/>
          </w:tcPr>
          <w:p>
            <w:pPr>
              <w:spacing w:line="300" w:lineRule="exact"/>
              <w:rPr>
                <w:rFonts w:hint="eastAsia" w:ascii="宋体" w:hAnsi="宋体" w:eastAsia="宋体" w:cs="宋体"/>
                <w:sz w:val="24"/>
              </w:rPr>
            </w:pPr>
          </w:p>
        </w:tc>
      </w:tr>
    </w:tbl>
    <w:p>
      <w:pPr>
        <w:pStyle w:val="2"/>
        <w:snapToGrid w:val="0"/>
        <w:spacing w:line="460" w:lineRule="exact"/>
        <w:rPr>
          <w:rFonts w:hint="eastAsia" w:ascii="宋体" w:hAnsi="宋体" w:eastAsia="宋体" w:cs="宋体"/>
        </w:rPr>
        <w:sectPr>
          <w:footerReference r:id="rId5" w:type="default"/>
          <w:pgSz w:w="11906" w:h="16839"/>
          <w:pgMar w:top="820" w:right="1358" w:bottom="720" w:left="1329" w:header="0" w:footer="601" w:gutter="0"/>
          <w:pgNumType w:fmt="decimal" w:start="1"/>
          <w:cols w:space="720" w:num="1"/>
        </w:sectPr>
      </w:pPr>
    </w:p>
    <w:p>
      <w:pPr>
        <w:pStyle w:val="13"/>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评标标准</w:t>
      </w:r>
    </w:p>
    <w:tbl>
      <w:tblPr>
        <w:tblStyle w:val="25"/>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010"/>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18" w:type="dxa"/>
            <w:noWrap w:val="0"/>
            <w:vAlign w:val="center"/>
          </w:tcPr>
          <w:p>
            <w:pPr>
              <w:adjustRightInd w:val="0"/>
              <w:jc w:val="center"/>
              <w:textAlignment w:val="baseline"/>
              <w:rPr>
                <w:rFonts w:ascii="宋体" w:cs="宋体"/>
                <w:sz w:val="28"/>
                <w:szCs w:val="28"/>
              </w:rPr>
            </w:pPr>
            <w:r>
              <w:rPr>
                <w:rFonts w:hint="eastAsia" w:ascii="宋体" w:hAnsi="宋体" w:cs="宋体"/>
                <w:sz w:val="28"/>
                <w:szCs w:val="28"/>
              </w:rPr>
              <w:t>评分类别</w:t>
            </w:r>
          </w:p>
        </w:tc>
        <w:tc>
          <w:tcPr>
            <w:tcW w:w="2010" w:type="dxa"/>
            <w:noWrap w:val="0"/>
            <w:vAlign w:val="center"/>
          </w:tcPr>
          <w:p>
            <w:pPr>
              <w:adjustRightInd w:val="0"/>
              <w:jc w:val="center"/>
              <w:textAlignment w:val="baseline"/>
              <w:rPr>
                <w:rFonts w:ascii="宋体" w:cs="宋体"/>
                <w:sz w:val="28"/>
                <w:szCs w:val="28"/>
              </w:rPr>
            </w:pPr>
            <w:r>
              <w:rPr>
                <w:rFonts w:hint="eastAsia" w:ascii="宋体" w:hAnsi="宋体" w:cs="宋体"/>
                <w:sz w:val="28"/>
                <w:szCs w:val="28"/>
              </w:rPr>
              <w:t>评分因素</w:t>
            </w:r>
          </w:p>
        </w:tc>
        <w:tc>
          <w:tcPr>
            <w:tcW w:w="6729" w:type="dxa"/>
            <w:noWrap w:val="0"/>
            <w:vAlign w:val="center"/>
          </w:tcPr>
          <w:p>
            <w:pPr>
              <w:adjustRightInd w:val="0"/>
              <w:jc w:val="center"/>
              <w:textAlignment w:val="baseline"/>
              <w:rPr>
                <w:rFonts w:ascii="宋体" w:cs="宋体"/>
                <w:sz w:val="28"/>
                <w:szCs w:val="28"/>
              </w:rPr>
            </w:pPr>
            <w:r>
              <w:rPr>
                <w:rFonts w:hint="eastAsia" w:ascii="宋体" w:hAnsi="宋体" w:cs="宋体"/>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textAlignment w:val="baseline"/>
              <w:rPr>
                <w:rFonts w:ascii="宋体" w:hAnsi="宋体" w:cs="宋体"/>
                <w:sz w:val="28"/>
                <w:szCs w:val="28"/>
              </w:rPr>
            </w:pPr>
            <w:r>
              <w:rPr>
                <w:rFonts w:hint="eastAsia" w:ascii="宋体" w:hAnsi="宋体" w:cs="宋体"/>
                <w:sz w:val="28"/>
                <w:szCs w:val="28"/>
              </w:rPr>
              <w:t>报价部分</w:t>
            </w:r>
          </w:p>
          <w:p>
            <w:pPr>
              <w:adjustRightInd w:val="0"/>
              <w:jc w:val="center"/>
              <w:textAlignment w:val="baseline"/>
              <w:rPr>
                <w:rFonts w:ascii="宋体" w:hAnsi="宋体" w:cs="宋体"/>
                <w:sz w:val="28"/>
                <w:szCs w:val="28"/>
              </w:rPr>
            </w:pPr>
            <w:r>
              <w:rPr>
                <w:rFonts w:hint="eastAsia" w:ascii="宋体" w:hAnsi="宋体" w:cs="宋体"/>
                <w:sz w:val="28"/>
                <w:szCs w:val="28"/>
              </w:rPr>
              <w:t>10分</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68"/>
              <w:tabs>
                <w:tab w:val="left" w:pos="0"/>
                <w:tab w:val="left" w:pos="265"/>
              </w:tabs>
              <w:autoSpaceDE w:val="0"/>
              <w:autoSpaceDN w:val="0"/>
              <w:adjustRightInd w:val="0"/>
              <w:ind w:firstLine="0" w:firstLineChars="0"/>
              <w:jc w:val="center"/>
              <w:rPr>
                <w:rFonts w:hint="eastAsia" w:ascii="宋体" w:hAnsi="宋体"/>
                <w:sz w:val="24"/>
                <w:szCs w:val="24"/>
              </w:rPr>
            </w:pPr>
            <w:r>
              <w:rPr>
                <w:rFonts w:hint="eastAsia" w:hAnsi="宋体"/>
                <w:sz w:val="24"/>
                <w:szCs w:val="24"/>
                <w:lang w:eastAsia="zh-CN"/>
              </w:rPr>
              <w:t>参选</w:t>
            </w:r>
            <w:r>
              <w:rPr>
                <w:rFonts w:hint="eastAsia" w:ascii="宋体" w:hAnsi="宋体"/>
                <w:sz w:val="24"/>
                <w:szCs w:val="24"/>
              </w:rPr>
              <w:t>报价</w:t>
            </w:r>
          </w:p>
          <w:p>
            <w:pPr>
              <w:pStyle w:val="68"/>
              <w:tabs>
                <w:tab w:val="left" w:pos="0"/>
                <w:tab w:val="left" w:pos="265"/>
              </w:tabs>
              <w:autoSpaceDE w:val="0"/>
              <w:autoSpaceDN w:val="0"/>
              <w:adjustRightInd w:val="0"/>
              <w:ind w:firstLine="0" w:firstLineChars="0"/>
              <w:jc w:val="center"/>
              <w:rPr>
                <w:rFonts w:ascii="宋体" w:hAnsi="宋体" w:cs="宋体"/>
                <w:sz w:val="24"/>
                <w:szCs w:val="24"/>
              </w:rPr>
            </w:pPr>
            <w:r>
              <w:rPr>
                <w:rFonts w:hint="eastAsia" w:ascii="宋体" w:hAnsi="宋体"/>
                <w:sz w:val="24"/>
                <w:szCs w:val="24"/>
              </w:rPr>
              <w:t>（10分）</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after="0" w:line="480" w:lineRule="exact"/>
              <w:ind w:firstLine="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比选</w:t>
            </w:r>
            <w:r>
              <w:rPr>
                <w:rFonts w:hint="eastAsia" w:ascii="宋体" w:hAnsi="宋体" w:eastAsia="宋体" w:cs="宋体"/>
                <w:color w:val="auto"/>
                <w:spacing w:val="-6"/>
                <w:sz w:val="24"/>
                <w:szCs w:val="24"/>
                <w:highlight w:val="none"/>
                <w:lang w:eastAsia="zh-CN"/>
              </w:rPr>
              <w:t>人</w:t>
            </w:r>
            <w:r>
              <w:rPr>
                <w:rFonts w:hint="eastAsia" w:ascii="宋体" w:hAnsi="宋体" w:cs="宋体"/>
                <w:color w:val="auto"/>
                <w:spacing w:val="-6"/>
                <w:sz w:val="24"/>
                <w:szCs w:val="24"/>
                <w:highlight w:val="none"/>
                <w:lang w:val="en-US" w:eastAsia="zh-CN"/>
              </w:rPr>
              <w:t>参选</w:t>
            </w:r>
            <w:r>
              <w:rPr>
                <w:rFonts w:hint="eastAsia" w:ascii="宋体" w:hAnsi="宋体" w:eastAsia="宋体" w:cs="宋体"/>
                <w:color w:val="auto"/>
                <w:spacing w:val="-6"/>
                <w:sz w:val="24"/>
                <w:szCs w:val="24"/>
                <w:highlight w:val="none"/>
                <w:lang w:eastAsia="zh-CN"/>
              </w:rPr>
              <w:t>报价得分的计算：</w:t>
            </w:r>
          </w:p>
          <w:p>
            <w:pPr>
              <w:pStyle w:val="2"/>
              <w:rPr>
                <w:rFonts w:hint="eastAsia" w:hAnsi="宋体" w:cs="宋体"/>
                <w:sz w:val="24"/>
                <w:szCs w:val="24"/>
                <w:highlight w:val="none"/>
              </w:rPr>
            </w:pPr>
            <w:r>
              <w:rPr>
                <w:rFonts w:hint="eastAsia" w:hAnsi="宋体" w:cs="宋体"/>
                <w:sz w:val="24"/>
                <w:szCs w:val="24"/>
                <w:highlight w:val="none"/>
              </w:rPr>
              <w:t>评标基准价=所有有效</w:t>
            </w:r>
            <w:r>
              <w:rPr>
                <w:rFonts w:hint="eastAsia" w:hAnsi="宋体" w:cs="宋体"/>
                <w:sz w:val="24"/>
                <w:szCs w:val="24"/>
                <w:highlight w:val="none"/>
                <w:lang w:val="en-US" w:eastAsia="zh-CN"/>
              </w:rPr>
              <w:t>参选</w:t>
            </w:r>
            <w:r>
              <w:rPr>
                <w:rFonts w:hint="eastAsia" w:hAnsi="宋体" w:cs="宋体"/>
                <w:sz w:val="24"/>
                <w:szCs w:val="24"/>
                <w:highlight w:val="none"/>
              </w:rPr>
              <w:t>总报价的算术平均值，</w:t>
            </w:r>
            <w:r>
              <w:rPr>
                <w:rFonts w:hint="eastAsia" w:hAnsi="宋体" w:cs="宋体"/>
                <w:sz w:val="24"/>
                <w:szCs w:val="24"/>
                <w:highlight w:val="none"/>
                <w:lang w:val="en-US" w:eastAsia="zh-CN"/>
              </w:rPr>
              <w:t>参选</w:t>
            </w:r>
            <w:r>
              <w:rPr>
                <w:rFonts w:hint="eastAsia" w:hAnsi="宋体" w:cs="宋体"/>
                <w:sz w:val="24"/>
                <w:szCs w:val="24"/>
                <w:highlight w:val="none"/>
              </w:rPr>
              <w:t>总报价不得超过本项目招标控制总价（单项报价也不得超过</w:t>
            </w:r>
            <w:r>
              <w:rPr>
                <w:rFonts w:hint="eastAsia" w:hAnsi="宋体" w:cs="宋体"/>
                <w:sz w:val="24"/>
                <w:szCs w:val="24"/>
                <w:highlight w:val="none"/>
                <w:lang w:val="en-US" w:eastAsia="zh-CN"/>
              </w:rPr>
              <w:t>招标</w:t>
            </w:r>
            <w:r>
              <w:rPr>
                <w:rFonts w:hint="eastAsia" w:hAnsi="宋体" w:cs="宋体"/>
                <w:sz w:val="24"/>
                <w:szCs w:val="24"/>
                <w:highlight w:val="none"/>
              </w:rPr>
              <w:t>控制单价），否则按否决</w:t>
            </w:r>
            <w:r>
              <w:rPr>
                <w:rFonts w:hint="eastAsia" w:hAnsi="宋体" w:cs="宋体"/>
                <w:sz w:val="24"/>
                <w:szCs w:val="24"/>
                <w:highlight w:val="none"/>
                <w:lang w:val="en-US" w:eastAsia="zh-CN"/>
              </w:rPr>
              <w:t>参选</w:t>
            </w:r>
            <w:r>
              <w:rPr>
                <w:rFonts w:hint="eastAsia" w:hAnsi="宋体" w:cs="宋体"/>
                <w:sz w:val="24"/>
                <w:szCs w:val="24"/>
                <w:highlight w:val="none"/>
              </w:rPr>
              <w:t>处理。</w:t>
            </w:r>
          </w:p>
          <w:p>
            <w:pPr>
              <w:pStyle w:val="2"/>
              <w:rPr>
                <w:rFonts w:hint="eastAsia" w:hAnsi="宋体" w:cs="宋体"/>
                <w:sz w:val="24"/>
                <w:szCs w:val="24"/>
                <w:highlight w:val="none"/>
              </w:rPr>
            </w:pPr>
            <w:r>
              <w:rPr>
                <w:rFonts w:hint="eastAsia" w:hAnsi="宋体" w:cs="宋体"/>
                <w:sz w:val="24"/>
                <w:szCs w:val="24"/>
                <w:highlight w:val="none"/>
                <w:lang w:val="en-US" w:eastAsia="zh-CN"/>
              </w:rPr>
              <w:t>参选</w:t>
            </w:r>
            <w:r>
              <w:rPr>
                <w:rFonts w:hint="eastAsia" w:hAnsi="宋体" w:cs="宋体"/>
                <w:sz w:val="24"/>
                <w:szCs w:val="24"/>
                <w:highlight w:val="none"/>
              </w:rPr>
              <w:t>人总报价每高于评标基准价1个百分点（1</w:t>
            </w:r>
            <w:bookmarkStart w:id="43" w:name="_GoBack"/>
            <w:bookmarkEnd w:id="43"/>
            <w:r>
              <w:rPr>
                <w:rFonts w:hint="eastAsia" w:hAnsi="宋体" w:cs="宋体"/>
                <w:sz w:val="24"/>
                <w:szCs w:val="24"/>
                <w:highlight w:val="none"/>
              </w:rPr>
              <w:t>%）扣 0.02 分，每低于评标基准价1个百分点（1%）扣 0.01 分，不足 1%按直线插入法计算，最终计算得分四舍五入精确到小数点后两位。</w:t>
            </w:r>
          </w:p>
          <w:p>
            <w:pPr>
              <w:pStyle w:val="2"/>
              <w:rPr>
                <w:rFonts w:hint="eastAsia" w:hAnsi="宋体" w:cs="宋体"/>
                <w:sz w:val="24"/>
                <w:szCs w:val="24"/>
                <w:highlight w:val="none"/>
              </w:rPr>
            </w:pPr>
            <w:r>
              <w:rPr>
                <w:rFonts w:hint="eastAsia" w:hAnsi="宋体" w:cs="宋体"/>
                <w:sz w:val="24"/>
                <w:szCs w:val="24"/>
                <w:highlight w:val="none"/>
              </w:rPr>
              <w:t>计算公式如下：投标总报价&gt;基准价时，报价得分 =</w:t>
            </w:r>
            <w:r>
              <w:rPr>
                <w:rFonts w:hint="eastAsia" w:hAnsi="宋体" w:cs="宋体"/>
                <w:sz w:val="24"/>
                <w:szCs w:val="24"/>
                <w:highlight w:val="none"/>
                <w:lang w:val="en-US" w:eastAsia="zh-CN"/>
              </w:rPr>
              <w:t>1</w:t>
            </w:r>
            <w:r>
              <w:rPr>
                <w:rFonts w:hint="eastAsia" w:hAnsi="宋体" w:cs="宋体"/>
                <w:sz w:val="24"/>
                <w:szCs w:val="24"/>
                <w:highlight w:val="none"/>
              </w:rPr>
              <w:t>0-[（投标总报价-评标基准价）/评标基准价]× 100× 0.0</w:t>
            </w:r>
            <w:r>
              <w:rPr>
                <w:rFonts w:hint="eastAsia" w:hAnsi="宋体" w:cs="宋体"/>
                <w:sz w:val="24"/>
                <w:szCs w:val="24"/>
                <w:highlight w:val="none"/>
                <w:lang w:val="en-US" w:eastAsia="zh-CN"/>
              </w:rPr>
              <w:t>2</w:t>
            </w:r>
            <w:r>
              <w:rPr>
                <w:rFonts w:hint="eastAsia" w:hAnsi="宋体" w:cs="宋体"/>
                <w:sz w:val="24"/>
                <w:szCs w:val="24"/>
                <w:highlight w:val="none"/>
              </w:rPr>
              <w:t>；投标报价&lt;基准价时，报价得分 =</w:t>
            </w:r>
            <w:r>
              <w:rPr>
                <w:rFonts w:hint="eastAsia" w:hAnsi="宋体" w:cs="宋体"/>
                <w:sz w:val="24"/>
                <w:szCs w:val="24"/>
                <w:highlight w:val="none"/>
                <w:lang w:val="en-US" w:eastAsia="zh-CN"/>
              </w:rPr>
              <w:t>1</w:t>
            </w:r>
            <w:r>
              <w:rPr>
                <w:rFonts w:hint="eastAsia" w:hAnsi="宋体" w:cs="宋体"/>
                <w:sz w:val="24"/>
                <w:szCs w:val="24"/>
                <w:highlight w:val="none"/>
              </w:rPr>
              <w:t>0-[（评标基准价-投标总报价）/评标基准价]× 100× 0.0</w:t>
            </w:r>
            <w:r>
              <w:rPr>
                <w:rFonts w:hint="eastAsia" w:hAnsi="宋体" w:cs="宋体"/>
                <w:sz w:val="24"/>
                <w:szCs w:val="24"/>
                <w:highlight w:val="none"/>
                <w:lang w:val="en-US" w:eastAsia="zh-CN"/>
              </w:rPr>
              <w:t>1</w:t>
            </w:r>
            <w:r>
              <w:rPr>
                <w:rFonts w:hint="eastAsia" w:hAnsi="宋体" w:cs="宋体"/>
                <w:sz w:val="24"/>
                <w:szCs w:val="24"/>
                <w:highlight w:val="none"/>
              </w:rPr>
              <w:t>。</w:t>
            </w:r>
          </w:p>
          <w:p>
            <w:pPr>
              <w:pStyle w:val="2"/>
              <w:rPr>
                <w:rFonts w:hint="eastAsia" w:hAnsi="宋体" w:cs="宋体"/>
                <w:sz w:val="24"/>
                <w:szCs w:val="24"/>
              </w:rPr>
            </w:pPr>
            <w:r>
              <w:rPr>
                <w:rFonts w:hint="eastAsia" w:hAnsi="宋体" w:cs="宋体"/>
                <w:sz w:val="24"/>
                <w:szCs w:val="24"/>
                <w:highlight w:val="none"/>
              </w:rPr>
              <w:t>备注：评标委员会依据评审规定认定其低于其个别成本报价竞标，评标委员会可以询标，要求该</w:t>
            </w:r>
            <w:r>
              <w:rPr>
                <w:rFonts w:hint="eastAsia" w:hAnsi="宋体" w:cs="宋体"/>
                <w:sz w:val="24"/>
                <w:szCs w:val="24"/>
                <w:highlight w:val="none"/>
                <w:lang w:val="en-US" w:eastAsia="zh-CN"/>
              </w:rPr>
              <w:t>比选</w:t>
            </w:r>
            <w:r>
              <w:rPr>
                <w:rFonts w:hint="eastAsia" w:hAnsi="宋体" w:cs="宋体"/>
                <w:sz w:val="24"/>
                <w:szCs w:val="24"/>
                <w:highlight w:val="none"/>
              </w:rPr>
              <w:t>人当时、当场提供相关证明材料，并作出书面说明。询标后，不能合理说明理由或不能提供相关证明材料或拒绝澄清、说明和补正的，评标委员会应认定该</w:t>
            </w:r>
            <w:r>
              <w:rPr>
                <w:rFonts w:hint="eastAsia" w:hAnsi="宋体" w:cs="宋体"/>
                <w:sz w:val="24"/>
                <w:szCs w:val="24"/>
                <w:highlight w:val="none"/>
                <w:lang w:val="en-US" w:eastAsia="zh-CN"/>
              </w:rPr>
              <w:t>比选</w:t>
            </w:r>
            <w:r>
              <w:rPr>
                <w:rFonts w:hint="eastAsia" w:hAnsi="宋体" w:cs="宋体"/>
                <w:sz w:val="24"/>
                <w:szCs w:val="24"/>
                <w:highlight w:val="none"/>
              </w:rPr>
              <w:t>人低于成本报价竞争,其投标应当予以否决。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18" w:type="dxa"/>
            <w:vMerge w:val="restart"/>
            <w:tcBorders>
              <w:top w:val="single" w:color="auto" w:sz="4" w:space="0"/>
              <w:left w:val="single" w:color="auto" w:sz="4" w:space="0"/>
              <w:right w:val="single" w:color="auto" w:sz="4" w:space="0"/>
            </w:tcBorders>
            <w:noWrap w:val="0"/>
            <w:vAlign w:val="center"/>
          </w:tcPr>
          <w:p>
            <w:pPr>
              <w:adjustRightInd w:val="0"/>
              <w:textAlignment w:val="baseline"/>
              <w:rPr>
                <w:rFonts w:ascii="宋体" w:hAnsi="宋体" w:cs="宋体"/>
                <w:sz w:val="28"/>
                <w:szCs w:val="28"/>
              </w:rPr>
            </w:pPr>
          </w:p>
          <w:p>
            <w:pPr>
              <w:adjustRightInd w:val="0"/>
              <w:jc w:val="center"/>
              <w:textAlignment w:val="baseline"/>
              <w:rPr>
                <w:rFonts w:ascii="宋体" w:hAnsi="宋体" w:cs="宋体"/>
                <w:sz w:val="28"/>
                <w:szCs w:val="28"/>
              </w:rPr>
            </w:pPr>
            <w:r>
              <w:rPr>
                <w:rFonts w:hint="eastAsia" w:ascii="宋体" w:hAnsi="宋体" w:cs="宋体"/>
                <w:sz w:val="28"/>
                <w:szCs w:val="28"/>
              </w:rPr>
              <w:t>商务部分</w:t>
            </w:r>
          </w:p>
          <w:p>
            <w:pPr>
              <w:adjustRightInd w:val="0"/>
              <w:jc w:val="center"/>
              <w:textAlignment w:val="baseline"/>
              <w:rPr>
                <w:rFonts w:ascii="宋体" w:hAnsi="宋体" w:cs="宋体"/>
                <w:sz w:val="28"/>
                <w:szCs w:val="28"/>
              </w:rPr>
            </w:pPr>
            <w:r>
              <w:rPr>
                <w:rFonts w:hint="eastAsia" w:ascii="宋体" w:hAnsi="宋体" w:cs="宋体"/>
                <w:sz w:val="28"/>
                <w:szCs w:val="28"/>
                <w:lang w:val="en-US" w:eastAsia="zh-CN"/>
              </w:rPr>
              <w:t>45</w:t>
            </w:r>
            <w:r>
              <w:rPr>
                <w:rFonts w:hint="eastAsia" w:ascii="宋体" w:hAnsi="宋体" w:cs="宋体"/>
                <w:sz w:val="28"/>
                <w:szCs w:val="28"/>
              </w:rPr>
              <w:t>分</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hint="eastAsia" w:ascii="Times New Roman" w:hAnsi="宋体" w:eastAsia="宋体" w:cs="Times New Roman"/>
                <w:color w:val="auto"/>
                <w:kern w:val="2"/>
                <w:sz w:val="24"/>
                <w:szCs w:val="24"/>
                <w:lang w:val="zh-CN" w:eastAsia="zh-CN" w:bidi="ar-SA"/>
              </w:rPr>
            </w:pPr>
            <w:r>
              <w:rPr>
                <w:rFonts w:hint="eastAsia" w:ascii="Times New Roman" w:hAnsi="宋体" w:eastAsia="宋体" w:cs="Times New Roman"/>
                <w:color w:val="auto"/>
                <w:kern w:val="2"/>
                <w:sz w:val="24"/>
                <w:szCs w:val="24"/>
                <w:lang w:val="zh-CN" w:eastAsia="zh-CN" w:bidi="ar-SA"/>
              </w:rPr>
              <w:t>项目负责人</w:t>
            </w:r>
          </w:p>
          <w:p>
            <w:pPr>
              <w:jc w:val="center"/>
              <w:textAlignment w:val="baseline"/>
              <w:rPr>
                <w:rFonts w:ascii="宋体" w:hAnsi="宋体" w:cs="宋体"/>
                <w:sz w:val="24"/>
                <w:szCs w:val="24"/>
              </w:rPr>
            </w:pPr>
            <w:r>
              <w:rPr>
                <w:rFonts w:hint="eastAsia" w:ascii="Times New Roman" w:hAnsi="宋体" w:eastAsia="宋体" w:cs="Times New Roman"/>
                <w:color w:val="auto"/>
                <w:kern w:val="2"/>
                <w:sz w:val="24"/>
                <w:szCs w:val="24"/>
                <w:lang w:val="en-US" w:eastAsia="zh-CN" w:bidi="ar-SA"/>
              </w:rPr>
              <w:t>（10分）</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pStyle w:val="72"/>
              <w:framePr w:wrap="auto" w:vAnchor="margin" w:hAnchor="text" w:yAlign="inline"/>
              <w:widowControl w:val="0"/>
              <w:numPr>
                <w:ilvl w:val="0"/>
                <w:numId w:val="0"/>
              </w:numPr>
              <w:tabs>
                <w:tab w:val="left" w:pos="210"/>
                <w:tab w:val="left" w:pos="420"/>
                <w:tab w:val="left" w:pos="630"/>
                <w:tab w:val="left" w:pos="840"/>
                <w:tab w:val="left" w:pos="1050"/>
                <w:tab w:val="left" w:pos="1260"/>
              </w:tabs>
              <w:spacing w:line="36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zh-CN" w:eastAsia="zh-CN" w:bidi="ar-SA"/>
              </w:rPr>
              <w:t>拟派驻项目负责人具有三年以上（含）项目管理经验的得</w:t>
            </w:r>
            <w:r>
              <w:rPr>
                <w:rFonts w:hint="eastAsia" w:ascii="宋体" w:hAnsi="宋体" w:eastAsia="宋体" w:cs="宋体"/>
                <w:color w:val="auto"/>
                <w:kern w:val="0"/>
                <w:sz w:val="24"/>
                <w:szCs w:val="24"/>
                <w:lang w:val="en-US" w:eastAsia="zh-CN" w:bidi="ar-SA"/>
              </w:rPr>
              <w:t>10</w:t>
            </w:r>
            <w:r>
              <w:rPr>
                <w:rFonts w:hint="eastAsia" w:ascii="宋体" w:hAnsi="宋体" w:eastAsia="宋体" w:cs="宋体"/>
                <w:color w:val="auto"/>
                <w:kern w:val="0"/>
                <w:sz w:val="24"/>
                <w:szCs w:val="24"/>
                <w:lang w:val="zh-CN" w:eastAsia="zh-CN" w:bidi="ar-SA"/>
              </w:rPr>
              <w:t>分；具有三年以下项目管理经验的得</w:t>
            </w: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kern w:val="0"/>
                <w:sz w:val="24"/>
                <w:szCs w:val="24"/>
                <w:lang w:val="zh-CN" w:eastAsia="zh-CN" w:bidi="ar-SA"/>
              </w:rPr>
              <w:t>分。</w:t>
            </w:r>
          </w:p>
          <w:p>
            <w:pPr>
              <w:adjustRightInd w:val="0"/>
              <w:jc w:val="left"/>
              <w:textAlignment w:val="baseline"/>
              <w:rPr>
                <w:rFonts w:ascii="宋体" w:hAnsi="宋体" w:cs="宋体"/>
                <w:sz w:val="24"/>
                <w:szCs w:val="24"/>
              </w:rPr>
            </w:pPr>
            <w:r>
              <w:rPr>
                <w:rFonts w:hint="eastAsia" w:ascii="Times New Roman" w:hAnsi="Times New Roman" w:eastAsia="宋体" w:cs="Times New Roman"/>
                <w:b/>
                <w:bCs/>
                <w:sz w:val="24"/>
                <w:szCs w:val="24"/>
                <w:lang w:val="zh-CN" w:eastAsia="zh-CN"/>
              </w:rPr>
              <w:t>评审依据：参选人须提供参选人出具的书面证明材料、劳动合同原件扫描件。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418" w:type="dxa"/>
            <w:vMerge w:val="continue"/>
            <w:tcBorders>
              <w:left w:val="single" w:color="auto" w:sz="4" w:space="0"/>
              <w:right w:val="single" w:color="auto" w:sz="4" w:space="0"/>
            </w:tcBorders>
            <w:noWrap w:val="0"/>
            <w:vAlign w:val="center"/>
          </w:tcPr>
          <w:p>
            <w:pPr>
              <w:adjustRightInd w:val="0"/>
              <w:jc w:val="center"/>
              <w:textAlignment w:val="baseline"/>
              <w:rPr>
                <w:rFonts w:ascii="宋体" w:hAnsi="宋体" w:cs="宋体"/>
                <w:sz w:val="28"/>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hint="eastAsia" w:ascii="宋体" w:hAnsi="宋体" w:cs="宋体"/>
                <w:sz w:val="24"/>
                <w:szCs w:val="24"/>
              </w:rPr>
            </w:pPr>
            <w:r>
              <w:rPr>
                <w:rFonts w:hint="eastAsia" w:ascii="宋体" w:hAnsi="宋体" w:cs="宋体"/>
                <w:sz w:val="24"/>
                <w:szCs w:val="24"/>
              </w:rPr>
              <w:t>业绩（</w:t>
            </w:r>
            <w:r>
              <w:rPr>
                <w:rFonts w:hint="eastAsia" w:ascii="宋体" w:hAnsi="宋体" w:cs="宋体"/>
                <w:sz w:val="24"/>
                <w:szCs w:val="24"/>
                <w:lang w:val="en-US" w:eastAsia="zh-CN"/>
              </w:rPr>
              <w:t>25</w:t>
            </w:r>
            <w:r>
              <w:rPr>
                <w:rFonts w:hint="eastAsia" w:ascii="宋体" w:hAnsi="宋体" w:cs="宋体"/>
                <w:sz w:val="24"/>
                <w:szCs w:val="24"/>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sz w:val="24"/>
                <w:szCs w:val="24"/>
              </w:rPr>
            </w:pPr>
            <w:r>
              <w:rPr>
                <w:rFonts w:hint="eastAsia" w:hAnsi="宋体"/>
                <w:sz w:val="24"/>
                <w:szCs w:val="24"/>
                <w:lang w:eastAsia="zh-CN"/>
              </w:rPr>
              <w:t>参选人</w:t>
            </w:r>
            <w:r>
              <w:rPr>
                <w:rFonts w:hint="eastAsia" w:hAnsi="宋体"/>
                <w:sz w:val="24"/>
                <w:szCs w:val="24"/>
              </w:rPr>
              <w:t>近3年来</w:t>
            </w:r>
            <w:r>
              <w:rPr>
                <w:rFonts w:hint="eastAsia" w:hAnsi="宋体"/>
                <w:sz w:val="24"/>
                <w:szCs w:val="24"/>
                <w:lang w:eastAsia="zh-CN"/>
              </w:rPr>
              <w:t>具</w:t>
            </w:r>
            <w:r>
              <w:rPr>
                <w:rFonts w:hint="eastAsia" w:hAnsi="宋体"/>
                <w:sz w:val="24"/>
                <w:szCs w:val="24"/>
              </w:rPr>
              <w:t>有保洁服务项目</w:t>
            </w:r>
            <w:r>
              <w:rPr>
                <w:rFonts w:hint="eastAsia" w:hAnsi="宋体"/>
                <w:sz w:val="24"/>
                <w:szCs w:val="24"/>
                <w:lang w:eastAsia="zh-CN"/>
              </w:rPr>
              <w:t>业绩的，每提供一个得</w:t>
            </w:r>
            <w:r>
              <w:rPr>
                <w:rFonts w:hint="eastAsia" w:hAnsi="宋体"/>
                <w:sz w:val="24"/>
                <w:szCs w:val="24"/>
                <w:lang w:val="en-US" w:eastAsia="zh-CN"/>
              </w:rPr>
              <w:t>5分</w:t>
            </w:r>
            <w:r>
              <w:rPr>
                <w:rFonts w:hint="eastAsia" w:hAnsi="宋体"/>
                <w:sz w:val="24"/>
                <w:szCs w:val="24"/>
              </w:rPr>
              <w:t>，该项满分</w:t>
            </w:r>
            <w:r>
              <w:rPr>
                <w:rFonts w:hint="eastAsia" w:hAnsi="宋体"/>
                <w:sz w:val="24"/>
                <w:szCs w:val="24"/>
                <w:lang w:val="en-US" w:eastAsia="zh-CN"/>
              </w:rPr>
              <w:t>25</w:t>
            </w:r>
            <w:r>
              <w:rPr>
                <w:rFonts w:hint="eastAsia" w:hAnsi="宋体"/>
                <w:sz w:val="24"/>
                <w:szCs w:val="24"/>
              </w:rPr>
              <w:t>分。</w:t>
            </w:r>
          </w:p>
          <w:p>
            <w:pPr>
              <w:jc w:val="left"/>
              <w:textAlignment w:val="baseline"/>
              <w:rPr>
                <w:rFonts w:hint="eastAsia"/>
                <w:sz w:val="24"/>
                <w:szCs w:val="24"/>
              </w:rPr>
            </w:pPr>
            <w:r>
              <w:rPr>
                <w:rFonts w:hint="eastAsia"/>
                <w:b/>
                <w:bCs/>
                <w:sz w:val="24"/>
                <w:szCs w:val="24"/>
              </w:rPr>
              <w:t>评审依据：提供保洁服务合同复印件加盖公章。未提供不得分。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418" w:type="dxa"/>
            <w:vMerge w:val="continue"/>
            <w:tcBorders>
              <w:left w:val="single" w:color="auto" w:sz="4" w:space="0"/>
              <w:bottom w:val="single" w:color="auto" w:sz="4" w:space="0"/>
              <w:right w:val="single" w:color="auto" w:sz="4" w:space="0"/>
            </w:tcBorders>
            <w:noWrap w:val="0"/>
            <w:vAlign w:val="center"/>
          </w:tcPr>
          <w:p>
            <w:pPr>
              <w:adjustRightInd w:val="0"/>
              <w:jc w:val="center"/>
              <w:textAlignment w:val="baseline"/>
              <w:rPr>
                <w:rFonts w:ascii="宋体" w:hAnsi="宋体" w:cs="宋体"/>
                <w:sz w:val="28"/>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tabs>
                <w:tab w:val="left" w:pos="620"/>
              </w:tabs>
              <w:rPr>
                <w:rFonts w:hint="eastAsia" w:hAnsi="宋体"/>
                <w:sz w:val="24"/>
                <w:szCs w:val="24"/>
              </w:rPr>
            </w:pPr>
            <w:r>
              <w:rPr>
                <w:rFonts w:hint="eastAsia" w:hAnsi="宋体"/>
                <w:sz w:val="24"/>
                <w:szCs w:val="24"/>
              </w:rPr>
              <w:t>服务品质（</w:t>
            </w:r>
            <w:r>
              <w:rPr>
                <w:rFonts w:hint="eastAsia" w:hAnsi="宋体"/>
                <w:sz w:val="24"/>
                <w:szCs w:val="24"/>
                <w:lang w:val="en-US" w:eastAsia="zh-CN"/>
              </w:rPr>
              <w:t>10</w:t>
            </w:r>
            <w:r>
              <w:rPr>
                <w:rFonts w:hint="eastAsia" w:hAnsi="宋体"/>
                <w:sz w:val="24"/>
                <w:szCs w:val="24"/>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tabs>
                <w:tab w:val="left" w:pos="620"/>
              </w:tabs>
              <w:rPr>
                <w:rFonts w:hint="eastAsia" w:hAnsi="宋体"/>
                <w:sz w:val="24"/>
                <w:szCs w:val="24"/>
              </w:rPr>
            </w:pPr>
            <w:r>
              <w:rPr>
                <w:rFonts w:hint="eastAsia" w:hAnsi="宋体"/>
                <w:sz w:val="24"/>
                <w:szCs w:val="24"/>
                <w:lang w:eastAsia="zh-CN"/>
              </w:rPr>
              <w:t>参选人</w:t>
            </w:r>
            <w:r>
              <w:rPr>
                <w:rFonts w:hint="eastAsia" w:hAnsi="宋体"/>
                <w:sz w:val="24"/>
                <w:szCs w:val="24"/>
              </w:rPr>
              <w:t>承诺能够在1小时内响应</w:t>
            </w:r>
            <w:r>
              <w:rPr>
                <w:rFonts w:hint="eastAsia" w:hAnsi="宋体"/>
                <w:sz w:val="24"/>
                <w:szCs w:val="24"/>
                <w:lang w:eastAsia="zh-CN"/>
              </w:rPr>
              <w:t>比选</w:t>
            </w:r>
            <w:r>
              <w:rPr>
                <w:rFonts w:hint="eastAsia" w:hAnsi="宋体"/>
                <w:sz w:val="24"/>
                <w:szCs w:val="24"/>
              </w:rPr>
              <w:t>人要求到达项目所在地，得</w:t>
            </w:r>
            <w:r>
              <w:rPr>
                <w:rFonts w:hint="eastAsia" w:hAnsi="宋体"/>
                <w:sz w:val="24"/>
                <w:szCs w:val="24"/>
                <w:lang w:val="en-US" w:eastAsia="zh-CN"/>
              </w:rPr>
              <w:t>1</w:t>
            </w:r>
            <w:r>
              <w:rPr>
                <w:rFonts w:hint="eastAsia" w:hAnsi="宋体"/>
                <w:sz w:val="24"/>
                <w:szCs w:val="24"/>
              </w:rPr>
              <w:t>0分；</w:t>
            </w:r>
            <w:r>
              <w:rPr>
                <w:rFonts w:hint="eastAsia" w:hAnsi="宋体"/>
                <w:sz w:val="24"/>
                <w:szCs w:val="24"/>
                <w:lang w:eastAsia="zh-CN"/>
              </w:rPr>
              <w:t>参选人</w:t>
            </w:r>
            <w:r>
              <w:rPr>
                <w:rFonts w:hint="eastAsia" w:hAnsi="宋体"/>
                <w:sz w:val="24"/>
                <w:szCs w:val="24"/>
              </w:rPr>
              <w:t>承诺在1小时以上响应</w:t>
            </w:r>
            <w:r>
              <w:rPr>
                <w:rFonts w:hint="eastAsia" w:hAnsi="宋体"/>
                <w:sz w:val="24"/>
                <w:szCs w:val="24"/>
                <w:lang w:eastAsia="zh-CN"/>
              </w:rPr>
              <w:t>比选</w:t>
            </w:r>
            <w:r>
              <w:rPr>
                <w:rFonts w:hint="eastAsia" w:hAnsi="宋体"/>
                <w:sz w:val="24"/>
                <w:szCs w:val="24"/>
              </w:rPr>
              <w:t>人要求到达项目所在地，得5分；其他情形得1分。</w:t>
            </w:r>
          </w:p>
          <w:p>
            <w:pPr>
              <w:tabs>
                <w:tab w:val="left" w:pos="620"/>
              </w:tabs>
              <w:rPr>
                <w:rFonts w:hint="eastAsia" w:hAnsi="宋体"/>
                <w:sz w:val="24"/>
                <w:szCs w:val="24"/>
              </w:rPr>
            </w:pPr>
            <w:r>
              <w:rPr>
                <w:rFonts w:hint="eastAsia" w:hAnsi="宋体"/>
                <w:b/>
                <w:bCs/>
                <w:sz w:val="24"/>
                <w:szCs w:val="24"/>
              </w:rPr>
              <w:t>评审依据：</w:t>
            </w:r>
            <w:r>
              <w:rPr>
                <w:rFonts w:hint="eastAsia" w:hAnsi="宋体"/>
                <w:b/>
                <w:bCs/>
                <w:sz w:val="24"/>
                <w:szCs w:val="24"/>
                <w:lang w:val="en-US" w:eastAsia="zh-CN"/>
              </w:rPr>
              <w:t>根据参选人提供的承诺函</w:t>
            </w:r>
            <w:r>
              <w:rPr>
                <w:rFonts w:hint="eastAsia"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418"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8"/>
                <w:szCs w:val="28"/>
              </w:rPr>
            </w:pPr>
            <w:r>
              <w:rPr>
                <w:rFonts w:hint="eastAsia" w:ascii="宋体" w:hAnsi="宋体" w:cs="宋体"/>
                <w:sz w:val="28"/>
                <w:szCs w:val="28"/>
              </w:rPr>
              <w:t>技术部分4</w:t>
            </w:r>
            <w:r>
              <w:rPr>
                <w:rFonts w:hint="eastAsia" w:ascii="宋体" w:hAnsi="宋体" w:cs="宋体"/>
                <w:sz w:val="28"/>
                <w:szCs w:val="28"/>
                <w:lang w:val="en-US" w:eastAsia="zh-CN"/>
              </w:rPr>
              <w:t>5</w:t>
            </w:r>
            <w:r>
              <w:rPr>
                <w:rFonts w:hint="eastAsia" w:ascii="宋体" w:hAnsi="宋体" w:cs="宋体"/>
                <w:sz w:val="28"/>
                <w:szCs w:val="28"/>
              </w:rPr>
              <w:t>分</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72"/>
              <w:framePr w:wrap="auto" w:vAnchor="margin" w:hAnchor="text" w:yAlign="inline"/>
              <w:widowControl w:val="0"/>
              <w:tabs>
                <w:tab w:val="left" w:pos="210"/>
                <w:tab w:val="left" w:pos="420"/>
                <w:tab w:val="left" w:pos="630"/>
                <w:tab w:val="left" w:pos="840"/>
                <w:tab w:val="left" w:pos="1050"/>
                <w:tab w:val="left" w:pos="1260"/>
              </w:tabs>
              <w:spacing w:line="360" w:lineRule="auto"/>
              <w:jc w:val="center"/>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服务方案</w:t>
            </w:r>
          </w:p>
          <w:p>
            <w:pPr>
              <w:adjustRightInd w:val="0"/>
              <w:jc w:val="center"/>
              <w:textAlignment w:val="baseline"/>
              <w:rPr>
                <w:rFonts w:ascii="宋体" w:hAnsi="宋体" w:cs="宋体"/>
                <w:sz w:val="24"/>
                <w:szCs w:val="24"/>
              </w:rPr>
            </w:pPr>
            <w:r>
              <w:rPr>
                <w:rFonts w:hint="eastAsia" w:ascii="Times New Roman" w:hAnsi="宋体" w:eastAsia="宋体" w:cs="Times New Roman"/>
                <w:color w:val="auto"/>
                <w:kern w:val="2"/>
                <w:sz w:val="24"/>
                <w:szCs w:val="24"/>
                <w:lang w:val="en-US" w:eastAsia="zh-CN" w:bidi="ar-SA"/>
              </w:rPr>
              <w:t>（10分）</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tabs>
                <w:tab w:val="left" w:pos="620"/>
              </w:tabs>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val="zh-CN" w:eastAsia="zh-CN"/>
              </w:rPr>
              <w:t>制定并提供整体方案策划、管理制度、组织机构</w:t>
            </w:r>
            <w:r>
              <w:rPr>
                <w:rFonts w:hint="eastAsia" w:ascii="Times New Roman" w:hAnsi="宋体" w:eastAsia="宋体" w:cs="Times New Roman"/>
                <w:sz w:val="24"/>
                <w:szCs w:val="24"/>
                <w:lang w:eastAsia="zh-CN"/>
              </w:rPr>
              <w:t>：</w:t>
            </w:r>
            <w:r>
              <w:rPr>
                <w:rFonts w:hint="eastAsia" w:ascii="Times New Roman" w:hAnsi="宋体" w:eastAsia="宋体" w:cs="Times New Roman"/>
                <w:sz w:val="24"/>
                <w:szCs w:val="24"/>
                <w:lang w:val="en-US" w:eastAsia="zh-CN"/>
              </w:rPr>
              <w:t>内容全面且详细的</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7-10</w:t>
            </w:r>
            <w:r>
              <w:rPr>
                <w:rFonts w:hint="eastAsia" w:ascii="Times New Roman" w:hAnsi="宋体" w:eastAsia="宋体" w:cs="Times New Roman"/>
                <w:sz w:val="24"/>
                <w:szCs w:val="24"/>
                <w:lang w:eastAsia="zh-CN"/>
              </w:rPr>
              <w:t>分，</w:t>
            </w:r>
            <w:r>
              <w:rPr>
                <w:rFonts w:hint="eastAsia" w:ascii="Times New Roman" w:hAnsi="宋体" w:eastAsia="宋体" w:cs="Times New Roman"/>
                <w:sz w:val="24"/>
                <w:szCs w:val="24"/>
                <w:lang w:val="en-US" w:eastAsia="zh-CN"/>
              </w:rPr>
              <w:t>内容一般</w:t>
            </w:r>
            <w:r>
              <w:rPr>
                <w:rFonts w:hint="eastAsia" w:ascii="Times New Roman" w:hAnsi="宋体" w:eastAsia="宋体" w:cs="Times New Roman"/>
                <w:sz w:val="24"/>
                <w:szCs w:val="24"/>
                <w:lang w:eastAsia="zh-CN"/>
              </w:rPr>
              <w:t>的计</w:t>
            </w:r>
            <w:r>
              <w:rPr>
                <w:rFonts w:hint="eastAsia" w:ascii="Times New Roman" w:hAnsi="宋体" w:eastAsia="宋体" w:cs="Times New Roman"/>
                <w:sz w:val="24"/>
                <w:szCs w:val="24"/>
                <w:lang w:val="en-US" w:eastAsia="zh-CN"/>
              </w:rPr>
              <w:t>3-6</w:t>
            </w:r>
            <w:r>
              <w:rPr>
                <w:rFonts w:hint="eastAsia" w:ascii="Times New Roman" w:hAnsi="宋体" w:eastAsia="宋体" w:cs="Times New Roman"/>
                <w:sz w:val="24"/>
                <w:szCs w:val="24"/>
                <w:lang w:eastAsia="zh-CN"/>
              </w:rPr>
              <w:t>分，</w:t>
            </w:r>
            <w:r>
              <w:rPr>
                <w:rFonts w:hint="eastAsia" w:ascii="Times New Roman" w:hAnsi="宋体" w:eastAsia="宋体" w:cs="Times New Roman"/>
                <w:sz w:val="24"/>
                <w:szCs w:val="24"/>
                <w:lang w:val="en-US" w:eastAsia="zh-CN"/>
              </w:rPr>
              <w:t>内容简单的</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1-2</w:t>
            </w:r>
            <w:r>
              <w:rPr>
                <w:rFonts w:hint="eastAsia" w:ascii="Times New Roman" w:hAnsi="宋体" w:eastAsia="宋体" w:cs="Times New Roman"/>
                <w:sz w:val="24"/>
                <w:szCs w:val="24"/>
                <w:lang w:eastAsia="zh-CN"/>
              </w:rPr>
              <w:t>分</w:t>
            </w:r>
            <w:r>
              <w:rPr>
                <w:rFonts w:hint="eastAsia" w:ascii="Times New Roman" w:hAnsi="宋体" w:eastAsia="宋体" w:cs="Times New Roman"/>
                <w:sz w:val="24"/>
                <w:szCs w:val="24"/>
                <w:lang w:val="en-US" w:eastAsia="zh-CN"/>
              </w:rPr>
              <w:t>，未提供的不</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分。</w:t>
            </w:r>
          </w:p>
          <w:p>
            <w:pPr>
              <w:tabs>
                <w:tab w:val="left" w:pos="620"/>
              </w:tabs>
              <w:rPr>
                <w:rFonts w:hint="default" w:ascii="Times New Roman" w:hAnsi="宋体" w:eastAsia="宋体" w:cs="Times New Roman"/>
                <w:b/>
                <w:bCs/>
                <w:sz w:val="24"/>
                <w:szCs w:val="24"/>
                <w:lang w:val="en-US" w:eastAsia="zh-CN"/>
              </w:rPr>
            </w:pPr>
            <w:r>
              <w:rPr>
                <w:rFonts w:hint="eastAsia" w:ascii="Times New Roman" w:hAnsi="宋体" w:eastAsia="宋体" w:cs="Times New Roman"/>
                <w:b/>
                <w:bCs/>
                <w:sz w:val="24"/>
                <w:szCs w:val="24"/>
                <w:lang w:val="en-US" w:eastAsia="zh-CN"/>
              </w:rPr>
              <w:t>评审依据：参选文件内服务方案</w:t>
            </w:r>
            <w:r>
              <w:rPr>
                <w:rFonts w:hint="eastAsia" w:hAnsi="宋体"/>
                <w:b/>
                <w:bCs/>
                <w:sz w:val="24"/>
                <w:szCs w:val="24"/>
              </w:rPr>
              <w:t>。</w:t>
            </w:r>
          </w:p>
          <w:p>
            <w:pPr>
              <w:adjustRightInd w:val="0"/>
              <w:snapToGrid w:val="0"/>
              <w:spacing w:line="0" w:lineRule="atLeast"/>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418" w:type="dxa"/>
            <w:vMerge w:val="continue"/>
            <w:tcBorders>
              <w:left w:val="single" w:color="auto" w:sz="4" w:space="0"/>
              <w:right w:val="single" w:color="auto" w:sz="4" w:space="0"/>
            </w:tcBorders>
            <w:noWrap w:val="0"/>
            <w:vAlign w:val="center"/>
          </w:tcPr>
          <w:p>
            <w:pPr>
              <w:adjustRightInd w:val="0"/>
              <w:jc w:val="center"/>
              <w:textAlignment w:val="baseline"/>
              <w:rPr>
                <w:rFonts w:hint="eastAsia" w:ascii="宋体" w:hAnsi="宋体" w:cs="宋体"/>
                <w:sz w:val="28"/>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72"/>
              <w:framePr w:wrap="auto" w:vAnchor="margin" w:hAnchor="text" w:yAlign="inline"/>
              <w:widowControl w:val="0"/>
              <w:tabs>
                <w:tab w:val="left" w:pos="210"/>
                <w:tab w:val="left" w:pos="420"/>
                <w:tab w:val="left" w:pos="630"/>
                <w:tab w:val="left" w:pos="840"/>
                <w:tab w:val="left" w:pos="1050"/>
                <w:tab w:val="left" w:pos="126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服务规程（15分）</w:t>
            </w:r>
          </w:p>
        </w:tc>
        <w:tc>
          <w:tcPr>
            <w:tcW w:w="6729" w:type="dxa"/>
            <w:tcBorders>
              <w:top w:val="single" w:color="auto" w:sz="4" w:space="0"/>
              <w:left w:val="single" w:color="auto" w:sz="4" w:space="0"/>
              <w:bottom w:val="single" w:color="auto" w:sz="4" w:space="0"/>
              <w:right w:val="single" w:color="auto" w:sz="4" w:space="0"/>
            </w:tcBorders>
            <w:noWrap w:val="0"/>
            <w:vAlign w:val="top"/>
          </w:tcPr>
          <w:p>
            <w:pPr>
              <w:tabs>
                <w:tab w:val="left" w:pos="620"/>
              </w:tabs>
              <w:rPr>
                <w:rFonts w:hint="eastAsia" w:ascii="Times New Roman" w:hAnsi="宋体" w:eastAsia="宋体" w:cs="Times New Roman"/>
                <w:sz w:val="24"/>
                <w:szCs w:val="24"/>
                <w:lang w:val="zh-CN" w:eastAsia="zh-CN"/>
              </w:rPr>
            </w:pPr>
            <w:r>
              <w:rPr>
                <w:rFonts w:hint="eastAsia" w:ascii="Times New Roman" w:hAnsi="宋体" w:eastAsia="宋体" w:cs="Times New Roman"/>
                <w:sz w:val="24"/>
                <w:szCs w:val="24"/>
                <w:lang w:val="zh-CN" w:eastAsia="zh-CN"/>
              </w:rPr>
              <w:t>完善的管理制度、巡查制度、交接班制度、工作纪律和仪容仪表规定作详细划分，</w:t>
            </w:r>
            <w:r>
              <w:rPr>
                <w:rFonts w:hint="eastAsia" w:ascii="Times New Roman" w:hAnsi="宋体" w:eastAsia="宋体" w:cs="Times New Roman"/>
                <w:sz w:val="24"/>
                <w:szCs w:val="24"/>
                <w:lang w:val="en-US" w:eastAsia="zh-CN"/>
              </w:rPr>
              <w:t>内容全面且详细的</w:t>
            </w:r>
            <w:r>
              <w:rPr>
                <w:rFonts w:hint="eastAsia" w:ascii="Times New Roman" w:hAnsi="宋体" w:eastAsia="宋体" w:cs="Times New Roman"/>
                <w:sz w:val="24"/>
                <w:szCs w:val="24"/>
                <w:lang w:val="zh-CN" w:eastAsia="zh-CN"/>
              </w:rPr>
              <w:t>计</w:t>
            </w:r>
            <w:r>
              <w:rPr>
                <w:rFonts w:hint="eastAsia" w:ascii="Times New Roman" w:hAnsi="宋体" w:eastAsia="宋体" w:cs="Times New Roman"/>
                <w:sz w:val="24"/>
                <w:szCs w:val="24"/>
                <w:lang w:val="en-US" w:eastAsia="zh-CN"/>
              </w:rPr>
              <w:t>11-15</w:t>
            </w:r>
            <w:r>
              <w:rPr>
                <w:rFonts w:hint="eastAsia" w:ascii="Times New Roman" w:hAnsi="宋体" w:eastAsia="宋体" w:cs="Times New Roman"/>
                <w:sz w:val="24"/>
                <w:szCs w:val="24"/>
                <w:lang w:val="zh-CN" w:eastAsia="zh-CN"/>
              </w:rPr>
              <w:t>分，</w:t>
            </w:r>
            <w:r>
              <w:rPr>
                <w:rFonts w:hint="eastAsia" w:ascii="Times New Roman" w:hAnsi="宋体" w:eastAsia="宋体" w:cs="Times New Roman"/>
                <w:sz w:val="24"/>
                <w:szCs w:val="24"/>
                <w:lang w:val="en-US" w:eastAsia="zh-CN"/>
              </w:rPr>
              <w:t>内容一般</w:t>
            </w:r>
            <w:r>
              <w:rPr>
                <w:rFonts w:hint="eastAsia" w:ascii="Times New Roman" w:hAnsi="宋体" w:eastAsia="宋体" w:cs="Times New Roman"/>
                <w:sz w:val="24"/>
                <w:szCs w:val="24"/>
                <w:lang w:val="zh-CN" w:eastAsia="zh-CN"/>
              </w:rPr>
              <w:t>的计</w:t>
            </w:r>
            <w:r>
              <w:rPr>
                <w:rFonts w:hint="eastAsia" w:ascii="Times New Roman" w:hAnsi="宋体" w:eastAsia="宋体" w:cs="Times New Roman"/>
                <w:sz w:val="24"/>
                <w:szCs w:val="24"/>
                <w:lang w:val="en-US" w:eastAsia="zh-CN"/>
              </w:rPr>
              <w:t>6-10</w:t>
            </w:r>
            <w:r>
              <w:rPr>
                <w:rFonts w:hint="eastAsia" w:ascii="Times New Roman" w:hAnsi="宋体" w:eastAsia="宋体" w:cs="Times New Roman"/>
                <w:sz w:val="24"/>
                <w:szCs w:val="24"/>
                <w:lang w:val="zh-CN" w:eastAsia="zh-CN"/>
              </w:rPr>
              <w:t>分，</w:t>
            </w:r>
            <w:r>
              <w:rPr>
                <w:rFonts w:hint="eastAsia" w:ascii="Times New Roman" w:hAnsi="宋体" w:eastAsia="宋体" w:cs="Times New Roman"/>
                <w:sz w:val="24"/>
                <w:szCs w:val="24"/>
                <w:lang w:val="en-US" w:eastAsia="zh-CN"/>
              </w:rPr>
              <w:t>内容简单的</w:t>
            </w:r>
            <w:r>
              <w:rPr>
                <w:rFonts w:hint="eastAsia" w:ascii="Times New Roman" w:hAnsi="宋体" w:eastAsia="宋体" w:cs="Times New Roman"/>
                <w:sz w:val="24"/>
                <w:szCs w:val="24"/>
                <w:lang w:val="zh-CN" w:eastAsia="zh-CN"/>
              </w:rPr>
              <w:t>计</w:t>
            </w:r>
            <w:r>
              <w:rPr>
                <w:rFonts w:hint="eastAsia" w:ascii="Times New Roman" w:hAnsi="宋体" w:eastAsia="宋体" w:cs="Times New Roman"/>
                <w:sz w:val="24"/>
                <w:szCs w:val="24"/>
                <w:lang w:val="en-US" w:eastAsia="zh-CN"/>
              </w:rPr>
              <w:t>1-5</w:t>
            </w:r>
            <w:r>
              <w:rPr>
                <w:rFonts w:hint="eastAsia" w:ascii="Times New Roman" w:hAnsi="宋体" w:eastAsia="宋体" w:cs="Times New Roman"/>
                <w:sz w:val="24"/>
                <w:szCs w:val="24"/>
                <w:lang w:val="zh-CN" w:eastAsia="zh-CN"/>
              </w:rPr>
              <w:t>分</w:t>
            </w:r>
            <w:r>
              <w:rPr>
                <w:rFonts w:hint="eastAsia" w:ascii="Times New Roman" w:hAnsi="宋体" w:eastAsia="宋体" w:cs="Times New Roman"/>
                <w:sz w:val="24"/>
                <w:szCs w:val="24"/>
                <w:lang w:val="en-US" w:eastAsia="zh-CN"/>
              </w:rPr>
              <w:t>，未提供的不</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分</w:t>
            </w:r>
            <w:r>
              <w:rPr>
                <w:rFonts w:hint="eastAsia" w:ascii="Times New Roman" w:hAnsi="宋体" w:eastAsia="宋体" w:cs="Times New Roman"/>
                <w:sz w:val="24"/>
                <w:szCs w:val="24"/>
                <w:lang w:val="zh-CN" w:eastAsia="zh-CN"/>
              </w:rPr>
              <w:t>。</w:t>
            </w:r>
          </w:p>
          <w:p>
            <w:pPr>
              <w:jc w:val="left"/>
              <w:textAlignment w:val="baseline"/>
              <w:rPr>
                <w:rFonts w:hint="eastAsia" w:ascii="宋体" w:hAnsi="宋体" w:eastAsia="宋体" w:cs="宋体"/>
                <w:color w:val="auto"/>
                <w:sz w:val="22"/>
                <w:szCs w:val="22"/>
                <w:lang w:eastAsia="zh-CN"/>
              </w:rPr>
            </w:pPr>
            <w:r>
              <w:rPr>
                <w:rFonts w:hint="eastAsia" w:ascii="Times New Roman" w:hAnsi="宋体" w:eastAsia="宋体" w:cs="Times New Roman"/>
                <w:b/>
                <w:bCs/>
                <w:sz w:val="24"/>
                <w:szCs w:val="24"/>
                <w:lang w:val="en-US" w:eastAsia="zh-CN"/>
              </w:rPr>
              <w:t>评审依据：参选文件内服务规程</w:t>
            </w:r>
            <w:r>
              <w:rPr>
                <w:rFonts w:hint="eastAsia"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8" w:type="dxa"/>
            <w:vMerge w:val="continue"/>
            <w:tcBorders>
              <w:left w:val="single" w:color="auto" w:sz="4" w:space="0"/>
              <w:right w:val="single" w:color="auto" w:sz="4" w:space="0"/>
            </w:tcBorders>
            <w:noWrap w:val="0"/>
            <w:vAlign w:val="center"/>
          </w:tcPr>
          <w:p>
            <w:pPr>
              <w:adjustRightInd w:val="0"/>
              <w:jc w:val="center"/>
              <w:textAlignment w:val="baseline"/>
              <w:rPr>
                <w:rFonts w:hint="eastAsia" w:ascii="宋体" w:hAnsi="宋体" w:cs="宋体"/>
                <w:sz w:val="28"/>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tabs>
                <w:tab w:val="left" w:pos="780"/>
              </w:tabs>
              <w:jc w:val="center"/>
              <w:rPr>
                <w:rFonts w:hint="eastAsia" w:ascii="宋体" w:hAnsi="宋体" w:cs="宋体"/>
                <w:sz w:val="24"/>
                <w:szCs w:val="24"/>
              </w:rPr>
            </w:pPr>
            <w:r>
              <w:rPr>
                <w:rFonts w:hint="eastAsia" w:ascii="宋体" w:hAnsi="宋体" w:cs="宋体"/>
                <w:sz w:val="24"/>
                <w:szCs w:val="24"/>
              </w:rPr>
              <w:t>应急抢险方案（</w:t>
            </w:r>
            <w:r>
              <w:rPr>
                <w:rFonts w:hint="eastAsia" w:ascii="宋体" w:hAnsi="宋体" w:cs="宋体"/>
                <w:sz w:val="24"/>
                <w:szCs w:val="24"/>
                <w:lang w:val="en-US" w:eastAsia="zh-CN"/>
              </w:rPr>
              <w:t>1</w:t>
            </w:r>
            <w:r>
              <w:rPr>
                <w:rFonts w:hint="eastAsia" w:ascii="宋体" w:hAnsi="宋体" w:cs="宋体"/>
                <w:sz w:val="24"/>
                <w:szCs w:val="24"/>
              </w:rPr>
              <w:t>0分）</w:t>
            </w:r>
          </w:p>
        </w:tc>
        <w:tc>
          <w:tcPr>
            <w:tcW w:w="6729" w:type="dxa"/>
            <w:tcBorders>
              <w:top w:val="single" w:color="auto" w:sz="4" w:space="0"/>
              <w:left w:val="single" w:color="auto" w:sz="4" w:space="0"/>
              <w:bottom w:val="single" w:color="auto" w:sz="4" w:space="0"/>
              <w:right w:val="single" w:color="auto" w:sz="4" w:space="0"/>
            </w:tcBorders>
            <w:noWrap w:val="0"/>
            <w:vAlign w:val="top"/>
          </w:tcPr>
          <w:p>
            <w:pPr>
              <w:tabs>
                <w:tab w:val="left" w:pos="620"/>
              </w:tabs>
              <w:rPr>
                <w:rFonts w:hint="eastAsia" w:ascii="Times New Roman" w:hAnsi="宋体" w:eastAsia="宋体" w:cs="Times New Roman"/>
                <w:sz w:val="24"/>
                <w:szCs w:val="24"/>
                <w:lang w:val="zh-CN" w:eastAsia="zh-CN"/>
              </w:rPr>
            </w:pPr>
            <w:r>
              <w:rPr>
                <w:rFonts w:hint="eastAsia" w:ascii="Times New Roman" w:hAnsi="宋体" w:eastAsia="宋体" w:cs="Times New Roman"/>
                <w:sz w:val="24"/>
                <w:szCs w:val="24"/>
                <w:lang w:val="zh-CN" w:eastAsia="zh-CN"/>
              </w:rPr>
              <w:t>提供应急抢险方案，</w:t>
            </w:r>
            <w:r>
              <w:rPr>
                <w:rFonts w:hint="eastAsia" w:ascii="Times New Roman" w:hAnsi="宋体" w:eastAsia="宋体" w:cs="Times New Roman"/>
                <w:sz w:val="24"/>
                <w:szCs w:val="24"/>
                <w:lang w:val="en-US" w:eastAsia="zh-CN"/>
              </w:rPr>
              <w:t>内容全面且详细的</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7-10</w:t>
            </w:r>
            <w:r>
              <w:rPr>
                <w:rFonts w:hint="eastAsia" w:ascii="Times New Roman" w:hAnsi="宋体" w:eastAsia="宋体" w:cs="Times New Roman"/>
                <w:sz w:val="24"/>
                <w:szCs w:val="24"/>
                <w:lang w:eastAsia="zh-CN"/>
              </w:rPr>
              <w:t>分，</w:t>
            </w:r>
            <w:r>
              <w:rPr>
                <w:rFonts w:hint="eastAsia" w:ascii="Times New Roman" w:hAnsi="宋体" w:eastAsia="宋体" w:cs="Times New Roman"/>
                <w:sz w:val="24"/>
                <w:szCs w:val="24"/>
                <w:lang w:val="en-US" w:eastAsia="zh-CN"/>
              </w:rPr>
              <w:t>内容一般</w:t>
            </w:r>
            <w:r>
              <w:rPr>
                <w:rFonts w:hint="eastAsia" w:ascii="Times New Roman" w:hAnsi="宋体" w:eastAsia="宋体" w:cs="Times New Roman"/>
                <w:sz w:val="24"/>
                <w:szCs w:val="24"/>
                <w:lang w:eastAsia="zh-CN"/>
              </w:rPr>
              <w:t>的计</w:t>
            </w:r>
            <w:r>
              <w:rPr>
                <w:rFonts w:hint="eastAsia" w:ascii="Times New Roman" w:hAnsi="宋体" w:eastAsia="宋体" w:cs="Times New Roman"/>
                <w:sz w:val="24"/>
                <w:szCs w:val="24"/>
                <w:lang w:val="en-US" w:eastAsia="zh-CN"/>
              </w:rPr>
              <w:t>3-6</w:t>
            </w:r>
            <w:r>
              <w:rPr>
                <w:rFonts w:hint="eastAsia" w:ascii="Times New Roman" w:hAnsi="宋体" w:eastAsia="宋体" w:cs="Times New Roman"/>
                <w:sz w:val="24"/>
                <w:szCs w:val="24"/>
                <w:lang w:eastAsia="zh-CN"/>
              </w:rPr>
              <w:t>分，</w:t>
            </w:r>
            <w:r>
              <w:rPr>
                <w:rFonts w:hint="eastAsia" w:ascii="Times New Roman" w:hAnsi="宋体" w:eastAsia="宋体" w:cs="Times New Roman"/>
                <w:sz w:val="24"/>
                <w:szCs w:val="24"/>
                <w:lang w:val="en-US" w:eastAsia="zh-CN"/>
              </w:rPr>
              <w:t>内容简单的</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1-2</w:t>
            </w:r>
            <w:r>
              <w:rPr>
                <w:rFonts w:hint="eastAsia" w:ascii="Times New Roman" w:hAnsi="宋体" w:eastAsia="宋体" w:cs="Times New Roman"/>
                <w:sz w:val="24"/>
                <w:szCs w:val="24"/>
                <w:lang w:eastAsia="zh-CN"/>
              </w:rPr>
              <w:t>分</w:t>
            </w:r>
            <w:r>
              <w:rPr>
                <w:rFonts w:hint="eastAsia" w:ascii="Times New Roman" w:hAnsi="宋体" w:eastAsia="宋体" w:cs="Times New Roman"/>
                <w:sz w:val="24"/>
                <w:szCs w:val="24"/>
                <w:lang w:val="en-US" w:eastAsia="zh-CN"/>
              </w:rPr>
              <w:t>，未提供的不</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分</w:t>
            </w:r>
            <w:r>
              <w:rPr>
                <w:rFonts w:hint="eastAsia" w:ascii="Times New Roman" w:hAnsi="宋体" w:eastAsia="宋体" w:cs="Times New Roman"/>
                <w:sz w:val="24"/>
                <w:szCs w:val="24"/>
                <w:lang w:val="zh-CN" w:eastAsia="zh-CN"/>
              </w:rPr>
              <w:t>。</w:t>
            </w:r>
          </w:p>
          <w:p>
            <w:pPr>
              <w:tabs>
                <w:tab w:val="left" w:pos="780"/>
              </w:tabs>
              <w:jc w:val="left"/>
              <w:rPr>
                <w:rFonts w:hint="default" w:ascii="宋体" w:hAnsi="宋体" w:eastAsia="宋体" w:cs="宋体"/>
                <w:color w:val="auto"/>
                <w:sz w:val="22"/>
                <w:szCs w:val="22"/>
                <w:lang w:val="en-US" w:eastAsia="zh-CN"/>
              </w:rPr>
            </w:pPr>
            <w:r>
              <w:rPr>
                <w:rFonts w:hint="eastAsia" w:ascii="Times New Roman" w:hAnsi="宋体" w:eastAsia="宋体" w:cs="Times New Roman"/>
                <w:b/>
                <w:bCs/>
                <w:sz w:val="24"/>
                <w:szCs w:val="24"/>
                <w:lang w:val="en-US" w:eastAsia="zh-CN"/>
              </w:rPr>
              <w:t>评审依据：参选文件内应急抢险方案</w:t>
            </w:r>
            <w:r>
              <w:rPr>
                <w:rFonts w:hint="eastAsia"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418" w:type="dxa"/>
            <w:vMerge w:val="continue"/>
            <w:tcBorders>
              <w:left w:val="single" w:color="auto" w:sz="4" w:space="0"/>
              <w:right w:val="single" w:color="auto" w:sz="4" w:space="0"/>
            </w:tcBorders>
            <w:noWrap w:val="0"/>
            <w:vAlign w:val="center"/>
          </w:tcPr>
          <w:p>
            <w:pPr>
              <w:adjustRightInd w:val="0"/>
              <w:jc w:val="center"/>
              <w:textAlignment w:val="baseline"/>
              <w:rPr>
                <w:rFonts w:hint="eastAsia" w:ascii="宋体" w:hAnsi="宋体" w:cs="宋体"/>
                <w:sz w:val="28"/>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tabs>
                <w:tab w:val="left" w:pos="780"/>
              </w:tabs>
              <w:jc w:val="left"/>
              <w:rPr>
                <w:rFonts w:hint="eastAsia" w:ascii="宋体" w:hAnsi="宋体" w:cs="宋体"/>
                <w:sz w:val="24"/>
                <w:szCs w:val="24"/>
              </w:rPr>
            </w:pPr>
            <w:r>
              <w:rPr>
                <w:rFonts w:hint="eastAsia" w:ascii="宋体" w:hAnsi="宋体" w:cs="宋体"/>
                <w:sz w:val="24"/>
                <w:szCs w:val="24"/>
              </w:rPr>
              <w:t>保障方案（</w:t>
            </w:r>
            <w:r>
              <w:rPr>
                <w:rFonts w:hint="eastAsia" w:ascii="宋体" w:hAnsi="宋体" w:cs="宋体"/>
                <w:sz w:val="24"/>
                <w:szCs w:val="24"/>
                <w:lang w:val="en-US" w:eastAsia="zh-CN"/>
              </w:rPr>
              <w:t>10</w:t>
            </w:r>
            <w:r>
              <w:rPr>
                <w:rFonts w:hint="eastAsia" w:ascii="宋体" w:hAnsi="宋体" w:cs="宋体"/>
                <w:sz w:val="24"/>
                <w:szCs w:val="24"/>
              </w:rPr>
              <w:t>分）</w:t>
            </w:r>
          </w:p>
        </w:tc>
        <w:tc>
          <w:tcPr>
            <w:tcW w:w="6729" w:type="dxa"/>
            <w:tcBorders>
              <w:top w:val="single" w:color="auto" w:sz="4" w:space="0"/>
              <w:left w:val="single" w:color="auto" w:sz="4" w:space="0"/>
              <w:bottom w:val="single" w:color="auto" w:sz="4" w:space="0"/>
              <w:right w:val="single" w:color="auto" w:sz="4" w:space="0"/>
            </w:tcBorders>
            <w:noWrap w:val="0"/>
            <w:vAlign w:val="top"/>
          </w:tcPr>
          <w:p>
            <w:pPr>
              <w:tabs>
                <w:tab w:val="left" w:pos="780"/>
              </w:tabs>
              <w:jc w:val="left"/>
              <w:rPr>
                <w:rFonts w:hint="eastAsia" w:ascii="宋体" w:hAnsi="宋体" w:cs="宋体"/>
                <w:sz w:val="24"/>
                <w:szCs w:val="24"/>
              </w:rPr>
            </w:pPr>
            <w:r>
              <w:rPr>
                <w:rFonts w:hint="eastAsia" w:ascii="宋体" w:hAnsi="宋体" w:cs="宋体"/>
                <w:sz w:val="24"/>
                <w:szCs w:val="24"/>
              </w:rPr>
              <w:t>制定并提供整体方案策划、管理制度、组织机构：</w:t>
            </w:r>
            <w:r>
              <w:rPr>
                <w:rFonts w:hint="eastAsia" w:ascii="Times New Roman" w:hAnsi="宋体" w:eastAsia="宋体" w:cs="Times New Roman"/>
                <w:sz w:val="24"/>
                <w:szCs w:val="24"/>
                <w:lang w:val="en-US" w:eastAsia="zh-CN"/>
              </w:rPr>
              <w:t>内容全面且详细的</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7-10</w:t>
            </w:r>
            <w:r>
              <w:rPr>
                <w:rFonts w:hint="eastAsia" w:ascii="Times New Roman" w:hAnsi="宋体" w:eastAsia="宋体" w:cs="Times New Roman"/>
                <w:sz w:val="24"/>
                <w:szCs w:val="24"/>
                <w:lang w:eastAsia="zh-CN"/>
              </w:rPr>
              <w:t>分，</w:t>
            </w:r>
            <w:r>
              <w:rPr>
                <w:rFonts w:hint="eastAsia" w:ascii="Times New Roman" w:hAnsi="宋体" w:eastAsia="宋体" w:cs="Times New Roman"/>
                <w:sz w:val="24"/>
                <w:szCs w:val="24"/>
                <w:lang w:val="en-US" w:eastAsia="zh-CN"/>
              </w:rPr>
              <w:t>内容一般</w:t>
            </w:r>
            <w:r>
              <w:rPr>
                <w:rFonts w:hint="eastAsia" w:ascii="Times New Roman" w:hAnsi="宋体" w:eastAsia="宋体" w:cs="Times New Roman"/>
                <w:sz w:val="24"/>
                <w:szCs w:val="24"/>
                <w:lang w:eastAsia="zh-CN"/>
              </w:rPr>
              <w:t>的计</w:t>
            </w:r>
            <w:r>
              <w:rPr>
                <w:rFonts w:hint="eastAsia" w:ascii="Times New Roman" w:hAnsi="宋体" w:eastAsia="宋体" w:cs="Times New Roman"/>
                <w:sz w:val="24"/>
                <w:szCs w:val="24"/>
                <w:lang w:val="en-US" w:eastAsia="zh-CN"/>
              </w:rPr>
              <w:t>3-6</w:t>
            </w:r>
            <w:r>
              <w:rPr>
                <w:rFonts w:hint="eastAsia" w:ascii="Times New Roman" w:hAnsi="宋体" w:eastAsia="宋体" w:cs="Times New Roman"/>
                <w:sz w:val="24"/>
                <w:szCs w:val="24"/>
                <w:lang w:eastAsia="zh-CN"/>
              </w:rPr>
              <w:t>分，</w:t>
            </w:r>
            <w:r>
              <w:rPr>
                <w:rFonts w:hint="eastAsia" w:ascii="Times New Roman" w:hAnsi="宋体" w:eastAsia="宋体" w:cs="Times New Roman"/>
                <w:sz w:val="24"/>
                <w:szCs w:val="24"/>
                <w:lang w:val="en-US" w:eastAsia="zh-CN"/>
              </w:rPr>
              <w:t>内容简单的</w:t>
            </w:r>
            <w:r>
              <w:rPr>
                <w:rFonts w:hint="eastAsia" w:ascii="Times New Roman" w:hAnsi="宋体" w:eastAsia="宋体" w:cs="Times New Roman"/>
                <w:sz w:val="24"/>
                <w:szCs w:val="24"/>
                <w:lang w:eastAsia="zh-CN"/>
              </w:rPr>
              <w:t>计</w:t>
            </w:r>
            <w:r>
              <w:rPr>
                <w:rFonts w:hint="eastAsia" w:ascii="Times New Roman" w:hAnsi="宋体" w:eastAsia="宋体" w:cs="Times New Roman"/>
                <w:sz w:val="24"/>
                <w:szCs w:val="24"/>
                <w:lang w:val="en-US" w:eastAsia="zh-CN"/>
              </w:rPr>
              <w:t>1-2</w:t>
            </w:r>
            <w:r>
              <w:rPr>
                <w:rFonts w:hint="eastAsia" w:ascii="Times New Roman" w:hAnsi="宋体" w:eastAsia="宋体" w:cs="Times New Roman"/>
                <w:sz w:val="24"/>
                <w:szCs w:val="24"/>
                <w:lang w:eastAsia="zh-CN"/>
              </w:rPr>
              <w:t>分</w:t>
            </w:r>
            <w:r>
              <w:rPr>
                <w:rFonts w:hint="eastAsia" w:ascii="宋体" w:hAnsi="宋体" w:cs="宋体"/>
                <w:sz w:val="24"/>
                <w:szCs w:val="24"/>
                <w:lang w:val="en-US" w:eastAsia="zh-CN"/>
              </w:rPr>
              <w:t>，未提供的不</w:t>
            </w:r>
            <w:r>
              <w:rPr>
                <w:rFonts w:hint="eastAsia" w:ascii="Times New Roman" w:hAnsi="宋体" w:eastAsia="宋体" w:cs="Times New Roman"/>
                <w:sz w:val="24"/>
                <w:szCs w:val="24"/>
                <w:lang w:eastAsia="zh-CN"/>
              </w:rPr>
              <w:t>计</w:t>
            </w:r>
            <w:r>
              <w:rPr>
                <w:rFonts w:hint="eastAsia" w:ascii="宋体" w:hAnsi="宋体" w:cs="宋体"/>
                <w:sz w:val="24"/>
                <w:szCs w:val="24"/>
                <w:lang w:val="en-US" w:eastAsia="zh-CN"/>
              </w:rPr>
              <w:t>分</w:t>
            </w:r>
            <w:r>
              <w:rPr>
                <w:rFonts w:hint="eastAsia" w:ascii="宋体" w:hAnsi="宋体" w:cs="宋体"/>
                <w:sz w:val="24"/>
                <w:szCs w:val="24"/>
              </w:rPr>
              <w:t>。</w:t>
            </w:r>
          </w:p>
          <w:p>
            <w:pPr>
              <w:tabs>
                <w:tab w:val="left" w:pos="780"/>
              </w:tabs>
              <w:jc w:val="left"/>
              <w:rPr>
                <w:rFonts w:hint="eastAsia" w:ascii="宋体" w:hAnsi="宋体" w:cs="宋体"/>
                <w:sz w:val="24"/>
                <w:szCs w:val="24"/>
              </w:rPr>
            </w:pPr>
            <w:r>
              <w:rPr>
                <w:rFonts w:hint="eastAsia" w:ascii="Times New Roman" w:hAnsi="宋体" w:eastAsia="宋体" w:cs="Times New Roman"/>
                <w:b/>
                <w:bCs/>
                <w:sz w:val="24"/>
                <w:szCs w:val="24"/>
                <w:lang w:val="en-US" w:eastAsia="zh-CN"/>
              </w:rPr>
              <w:t>评审依据：参选文件内服务方案。</w:t>
            </w:r>
          </w:p>
        </w:tc>
      </w:tr>
    </w:tbl>
    <w:p>
      <w:pPr>
        <w:spacing w:line="340" w:lineRule="exact"/>
        <w:ind w:firstLine="480" w:firstLineChars="200"/>
        <w:rPr>
          <w:rFonts w:hint="eastAsia" w:ascii="宋体" w:hAnsi="宋体" w:eastAsia="宋体" w:cs="宋体"/>
          <w:color w:val="auto"/>
          <w:sz w:val="24"/>
          <w:szCs w:val="32"/>
        </w:rPr>
      </w:pPr>
    </w:p>
    <w:p>
      <w:pPr>
        <w:spacing w:line="340" w:lineRule="exact"/>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说明：</w:t>
      </w:r>
      <w:r>
        <w:rPr>
          <w:rFonts w:hint="eastAsia" w:ascii="宋体" w:hAnsi="宋体" w:eastAsia="宋体" w:cs="宋体"/>
          <w:color w:val="auto"/>
          <w:sz w:val="24"/>
          <w:szCs w:val="32"/>
          <w:lang w:eastAsia="zh-CN"/>
        </w:rPr>
        <w:t>比选小组</w:t>
      </w:r>
      <w:r>
        <w:rPr>
          <w:rFonts w:hint="eastAsia" w:ascii="宋体" w:hAnsi="宋体" w:eastAsia="宋体" w:cs="宋体"/>
          <w:color w:val="auto"/>
          <w:sz w:val="24"/>
          <w:szCs w:val="32"/>
        </w:rPr>
        <w:t>根据比选文件对各参选人的参选文件中技术响应情况、商务与服务响应情况进行评审和综合评估并打分；</w:t>
      </w:r>
      <w:r>
        <w:rPr>
          <w:rFonts w:hint="eastAsia" w:ascii="宋体" w:hAnsi="宋体" w:eastAsia="宋体" w:cs="宋体"/>
          <w:color w:val="auto"/>
          <w:sz w:val="24"/>
          <w:szCs w:val="32"/>
          <w:lang w:eastAsia="zh-CN"/>
        </w:rPr>
        <w:t>比选小组</w:t>
      </w:r>
      <w:r>
        <w:rPr>
          <w:rFonts w:hint="eastAsia" w:ascii="宋体" w:hAnsi="宋体" w:eastAsia="宋体" w:cs="宋体"/>
          <w:color w:val="auto"/>
          <w:sz w:val="24"/>
          <w:szCs w:val="32"/>
        </w:rPr>
        <w:t>成员打分时不得协商，应独立完成。未满足比选文件要求的参选文件不予打分；根据</w:t>
      </w:r>
      <w:r>
        <w:rPr>
          <w:rFonts w:hint="eastAsia" w:ascii="宋体" w:hAnsi="宋体" w:eastAsia="宋体" w:cs="宋体"/>
          <w:color w:val="auto"/>
          <w:sz w:val="24"/>
          <w:szCs w:val="32"/>
          <w:lang w:eastAsia="zh-CN"/>
        </w:rPr>
        <w:t>比选小组</w:t>
      </w:r>
      <w:r>
        <w:rPr>
          <w:rFonts w:hint="eastAsia" w:ascii="宋体" w:hAnsi="宋体" w:eastAsia="宋体" w:cs="宋体"/>
          <w:color w:val="auto"/>
          <w:sz w:val="24"/>
          <w:szCs w:val="32"/>
        </w:rPr>
        <w:t>的综合打分结果，得出中</w:t>
      </w:r>
      <w:r>
        <w:rPr>
          <w:rFonts w:hint="eastAsia" w:ascii="宋体" w:hAnsi="宋体" w:eastAsia="宋体" w:cs="宋体"/>
          <w:color w:val="auto"/>
          <w:sz w:val="24"/>
          <w:szCs w:val="32"/>
          <w:lang w:eastAsia="zh-CN"/>
        </w:rPr>
        <w:t>选</w:t>
      </w:r>
      <w:r>
        <w:rPr>
          <w:rFonts w:hint="eastAsia" w:ascii="宋体" w:hAnsi="宋体" w:eastAsia="宋体" w:cs="宋体"/>
          <w:color w:val="auto"/>
          <w:sz w:val="24"/>
          <w:szCs w:val="32"/>
        </w:rPr>
        <w:t>候选人</w:t>
      </w:r>
      <w:r>
        <w:rPr>
          <w:rFonts w:hint="eastAsia" w:ascii="宋体" w:hAnsi="宋体" w:eastAsia="宋体" w:cs="宋体"/>
          <w:color w:val="auto"/>
          <w:sz w:val="24"/>
          <w:szCs w:val="32"/>
          <w:lang w:eastAsia="zh-CN"/>
        </w:rPr>
        <w:t>排序</w:t>
      </w:r>
      <w:r>
        <w:rPr>
          <w:rFonts w:hint="eastAsia" w:ascii="宋体" w:hAnsi="宋体" w:eastAsia="宋体" w:cs="宋体"/>
          <w:color w:val="auto"/>
          <w:sz w:val="24"/>
          <w:szCs w:val="32"/>
        </w:rPr>
        <w:t>。综合评分相等时，以报价较低者优先；报价也相同时，以技术标得分高者优先；技术标得分也相等的，由</w:t>
      </w:r>
      <w:r>
        <w:rPr>
          <w:rFonts w:hint="eastAsia" w:ascii="宋体" w:hAnsi="宋体" w:eastAsia="宋体" w:cs="宋体"/>
          <w:color w:val="auto"/>
          <w:sz w:val="24"/>
          <w:szCs w:val="32"/>
          <w:lang w:eastAsia="zh-CN"/>
        </w:rPr>
        <w:t>比选人</w:t>
      </w:r>
      <w:r>
        <w:rPr>
          <w:rFonts w:hint="eastAsia" w:ascii="宋体" w:hAnsi="宋体" w:eastAsia="宋体" w:cs="宋体"/>
          <w:color w:val="auto"/>
          <w:sz w:val="24"/>
          <w:szCs w:val="32"/>
        </w:rPr>
        <w:t>通过抽签的方式确定。</w:t>
      </w:r>
    </w:p>
    <w:p>
      <w:pPr>
        <w:spacing w:line="340" w:lineRule="exact"/>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抽签的方式为：抽签以手工抽取序号球的方式进行，先由参选人代表按</w:t>
      </w:r>
      <w:r>
        <w:rPr>
          <w:rFonts w:hint="eastAsia" w:ascii="宋体" w:hAnsi="宋体" w:eastAsia="宋体" w:cs="宋体"/>
          <w:color w:val="auto"/>
          <w:sz w:val="24"/>
          <w:szCs w:val="32"/>
          <w:lang w:eastAsia="zh-CN"/>
        </w:rPr>
        <w:t>参选文件</w:t>
      </w:r>
      <w:r>
        <w:rPr>
          <w:rFonts w:hint="eastAsia" w:ascii="宋体" w:hAnsi="宋体" w:eastAsia="宋体" w:cs="宋体"/>
          <w:color w:val="auto"/>
          <w:sz w:val="24"/>
          <w:szCs w:val="32"/>
        </w:rPr>
        <w:t>递交签到顺序抽取各参选人对应的序号球，再由</w:t>
      </w:r>
      <w:r>
        <w:rPr>
          <w:rFonts w:hint="eastAsia" w:ascii="宋体" w:hAnsi="宋体" w:eastAsia="宋体" w:cs="宋体"/>
          <w:color w:val="auto"/>
          <w:sz w:val="24"/>
          <w:szCs w:val="32"/>
          <w:lang w:eastAsia="zh-CN"/>
        </w:rPr>
        <w:t>比选人</w:t>
      </w:r>
      <w:r>
        <w:rPr>
          <w:rFonts w:hint="eastAsia" w:ascii="宋体" w:hAnsi="宋体" w:eastAsia="宋体" w:cs="宋体"/>
          <w:color w:val="auto"/>
          <w:sz w:val="24"/>
          <w:szCs w:val="32"/>
        </w:rPr>
        <w:t>随机从所有按上款规定并列第一的参选人的对应序号球中抽取出一个，被抽中序号所对应的参选人即为</w:t>
      </w:r>
      <w:r>
        <w:rPr>
          <w:rFonts w:hint="eastAsia" w:ascii="宋体" w:hAnsi="宋体" w:eastAsia="宋体" w:cs="宋体"/>
          <w:color w:val="auto"/>
          <w:sz w:val="24"/>
          <w:szCs w:val="32"/>
          <w:lang w:eastAsia="zh-CN"/>
        </w:rPr>
        <w:t>排序第一</w:t>
      </w:r>
      <w:r>
        <w:rPr>
          <w:rFonts w:hint="eastAsia" w:ascii="宋体" w:hAnsi="宋体" w:eastAsia="宋体" w:cs="宋体"/>
          <w:color w:val="auto"/>
          <w:sz w:val="24"/>
          <w:szCs w:val="32"/>
        </w:rPr>
        <w:t>中</w:t>
      </w:r>
      <w:r>
        <w:rPr>
          <w:rFonts w:hint="eastAsia" w:ascii="宋体" w:hAnsi="宋体" w:eastAsia="宋体" w:cs="宋体"/>
          <w:color w:val="auto"/>
          <w:sz w:val="24"/>
          <w:szCs w:val="32"/>
          <w:lang w:eastAsia="zh-CN"/>
        </w:rPr>
        <w:t>选</w:t>
      </w:r>
      <w:r>
        <w:rPr>
          <w:rFonts w:hint="eastAsia" w:ascii="宋体" w:hAnsi="宋体" w:eastAsia="宋体" w:cs="宋体"/>
          <w:color w:val="auto"/>
          <w:sz w:val="24"/>
          <w:szCs w:val="32"/>
        </w:rPr>
        <w:t>候选人。</w:t>
      </w:r>
    </w:p>
    <w:p>
      <w:pPr>
        <w:widowControl/>
        <w:spacing w:line="440" w:lineRule="exact"/>
        <w:ind w:firstLine="420" w:firstLineChars="200"/>
        <w:jc w:val="left"/>
        <w:rPr>
          <w:rFonts w:hint="eastAsia" w:ascii="宋体" w:hAnsi="宋体" w:eastAsia="宋体" w:cs="宋体"/>
          <w:color w:val="auto"/>
        </w:rPr>
      </w:pPr>
    </w:p>
    <w:p>
      <w:pPr>
        <w:widowControl/>
        <w:spacing w:line="440" w:lineRule="exact"/>
        <w:jc w:val="left"/>
        <w:rPr>
          <w:rFonts w:hint="eastAsia" w:ascii="宋体" w:hAnsi="宋体" w:eastAsia="宋体" w:cs="宋体"/>
          <w:color w:val="auto"/>
          <w:kern w:val="0"/>
          <w:sz w:val="24"/>
        </w:rPr>
      </w:pPr>
      <w:r>
        <w:rPr>
          <w:rFonts w:hint="eastAsia" w:ascii="宋体" w:hAnsi="宋体" w:eastAsia="宋体" w:cs="宋体"/>
          <w:color w:val="auto"/>
          <w:sz w:val="24"/>
        </w:rPr>
        <w:t>（三）参选文件的书面说明和补正</w:t>
      </w:r>
    </w:p>
    <w:p>
      <w:pPr>
        <w:widowControl/>
        <w:spacing w:line="440" w:lineRule="exac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sz w:val="24"/>
          <w:szCs w:val="32"/>
          <w:lang w:eastAsia="zh-CN"/>
        </w:rPr>
        <w:t>比选小组</w:t>
      </w:r>
      <w:r>
        <w:rPr>
          <w:rFonts w:hint="eastAsia" w:ascii="宋体" w:hAnsi="宋体" w:eastAsia="宋体" w:cs="宋体"/>
          <w:color w:val="auto"/>
          <w:kern w:val="0"/>
          <w:sz w:val="24"/>
        </w:rPr>
        <w:t>对评审有疑义或存在细微偏差的参选文件可以要求参选人进行书面说明和补正。对拒不做出书面说明或补正的参选人，</w:t>
      </w:r>
      <w:r>
        <w:rPr>
          <w:rFonts w:hint="eastAsia" w:ascii="宋体" w:hAnsi="宋体" w:eastAsia="宋体" w:cs="宋体"/>
          <w:color w:val="auto"/>
          <w:sz w:val="24"/>
          <w:szCs w:val="32"/>
          <w:lang w:eastAsia="zh-CN"/>
        </w:rPr>
        <w:t>比选小组</w:t>
      </w:r>
      <w:r>
        <w:rPr>
          <w:rFonts w:hint="eastAsia" w:ascii="宋体" w:hAnsi="宋体" w:eastAsia="宋体" w:cs="宋体"/>
          <w:color w:val="auto"/>
          <w:kern w:val="0"/>
          <w:sz w:val="24"/>
        </w:rPr>
        <w:t>在综合评议时可以否决其</w:t>
      </w:r>
      <w:r>
        <w:rPr>
          <w:rFonts w:hint="eastAsia" w:ascii="宋体" w:hAnsi="宋体" w:eastAsia="宋体" w:cs="宋体"/>
          <w:color w:val="auto"/>
          <w:kern w:val="0"/>
          <w:sz w:val="24"/>
          <w:lang w:eastAsia="zh-CN"/>
        </w:rPr>
        <w:t>参选</w:t>
      </w:r>
      <w:r>
        <w:rPr>
          <w:rFonts w:hint="eastAsia" w:ascii="宋体" w:hAnsi="宋体" w:eastAsia="宋体" w:cs="宋体"/>
          <w:color w:val="auto"/>
          <w:kern w:val="0"/>
          <w:sz w:val="24"/>
        </w:rPr>
        <w:t>。</w:t>
      </w:r>
    </w:p>
    <w:p>
      <w:pPr>
        <w:widowControl/>
        <w:spacing w:line="440" w:lineRule="exact"/>
        <w:ind w:firstLine="480"/>
        <w:jc w:val="left"/>
        <w:rPr>
          <w:rFonts w:hint="eastAsia" w:ascii="微软雅黑" w:hAnsi="微软雅黑" w:eastAsia="微软雅黑" w:cs="微软雅黑"/>
          <w:color w:val="auto"/>
          <w:sz w:val="24"/>
          <w:szCs w:val="32"/>
          <w:highlight w:val="none"/>
        </w:rPr>
        <w:sectPr>
          <w:footerReference r:id="rId7" w:type="first"/>
          <w:footerReference r:id="rId6" w:type="default"/>
          <w:pgSz w:w="11905" w:h="16838"/>
          <w:pgMar w:top="1440" w:right="1417" w:bottom="1440" w:left="1417" w:header="850" w:footer="992" w:gutter="0"/>
          <w:pgNumType w:fmt="decimal" w:start="1"/>
          <w:cols w:space="720" w:num="1"/>
          <w:titlePg/>
          <w:docGrid w:type="lines" w:linePitch="312" w:charSpace="0"/>
        </w:sectPr>
      </w:pPr>
      <w:r>
        <w:rPr>
          <w:rFonts w:hint="eastAsia" w:ascii="宋体" w:hAnsi="宋体" w:eastAsia="宋体" w:cs="宋体"/>
          <w:color w:val="auto"/>
          <w:kern w:val="0"/>
          <w:sz w:val="24"/>
        </w:rPr>
        <w:t>2、计分方法采用四舍五入，保留小数点后两位</w:t>
      </w:r>
      <w:r>
        <w:rPr>
          <w:rFonts w:hint="eastAsia" w:ascii="微软雅黑" w:hAnsi="微软雅黑" w:eastAsia="微软雅黑" w:cs="微软雅黑"/>
          <w:color w:val="auto"/>
          <w:kern w:val="0"/>
          <w:sz w:val="24"/>
          <w:highlight w:val="none"/>
        </w:rPr>
        <w:t>。</w:t>
      </w:r>
    </w:p>
    <w:p>
      <w:pPr>
        <w:spacing w:line="440" w:lineRule="exact"/>
        <w:jc w:val="center"/>
        <w:outlineLvl w:val="0"/>
        <w:rPr>
          <w:rFonts w:hint="eastAsia" w:ascii="宋体" w:hAnsi="宋体" w:cs="宋体"/>
          <w:b/>
          <w:sz w:val="32"/>
          <w:szCs w:val="32"/>
          <w:highlight w:val="none"/>
        </w:rPr>
      </w:pPr>
    </w:p>
    <w:p>
      <w:pPr>
        <w:spacing w:line="440" w:lineRule="exact"/>
        <w:jc w:val="center"/>
        <w:outlineLvl w:val="0"/>
        <w:rPr>
          <w:rFonts w:ascii="宋体" w:hAnsi="宋体" w:cs="宋体"/>
          <w:b/>
          <w:sz w:val="32"/>
          <w:szCs w:val="32"/>
          <w:highlight w:val="none"/>
        </w:rPr>
      </w:pPr>
      <w:r>
        <w:rPr>
          <w:rFonts w:hint="eastAsia" w:ascii="宋体" w:hAnsi="宋体" w:cs="宋体"/>
          <w:b/>
          <w:sz w:val="32"/>
          <w:szCs w:val="32"/>
          <w:highlight w:val="none"/>
        </w:rPr>
        <w:t>第四章 项目需求</w:t>
      </w:r>
      <w:bookmarkEnd w:id="37"/>
      <w:bookmarkEnd w:id="38"/>
    </w:p>
    <w:p>
      <w:pPr>
        <w:pStyle w:val="13"/>
        <w:rPr>
          <w:bCs/>
          <w:color w:val="auto"/>
          <w:highlight w:val="none"/>
        </w:rPr>
      </w:pPr>
    </w:p>
    <w:p>
      <w:pPr>
        <w:snapToGrid w:val="0"/>
        <w:spacing w:line="360" w:lineRule="auto"/>
        <w:ind w:left="4"/>
        <w:rPr>
          <w:rFonts w:hint="eastAsia" w:ascii="Calibri" w:hAnsi="Calibri" w:eastAsia="宋体" w:cs="Times New Roman"/>
          <w:bCs/>
          <w:kern w:val="0"/>
          <w:sz w:val="24"/>
          <w:szCs w:val="24"/>
          <w:highlight w:val="none"/>
          <w:lang w:val="en-US" w:eastAsia="zh-CN" w:bidi="ar-SA"/>
        </w:rPr>
      </w:pPr>
      <w:r>
        <w:rPr>
          <w:rFonts w:ascii="宋体" w:hAnsi="宋体" w:cs="宋体"/>
          <w:b/>
          <w:bCs/>
          <w:spacing w:val="9"/>
          <w:position w:val="2"/>
          <w:sz w:val="23"/>
          <w:szCs w:val="23"/>
          <w:highlight w:val="none"/>
        </w:rPr>
        <w:t>一</w:t>
      </w:r>
      <w:r>
        <w:rPr>
          <w:rFonts w:ascii="宋体" w:hAnsi="宋体" w:cs="宋体"/>
          <w:b/>
          <w:bCs/>
          <w:spacing w:val="7"/>
          <w:position w:val="2"/>
          <w:sz w:val="23"/>
          <w:szCs w:val="23"/>
          <w:highlight w:val="none"/>
        </w:rPr>
        <w:t>、</w:t>
      </w:r>
      <w:r>
        <w:rPr>
          <w:rFonts w:hint="eastAsia" w:ascii="Calibri" w:hAnsi="Calibri" w:eastAsia="宋体" w:cs="Times New Roman"/>
          <w:b/>
          <w:bCs w:val="0"/>
          <w:kern w:val="0"/>
          <w:sz w:val="24"/>
          <w:szCs w:val="24"/>
          <w:highlight w:val="none"/>
          <w:lang w:val="en-US" w:eastAsia="zh-CN" w:bidi="ar-SA"/>
        </w:rPr>
        <w:t>招标控制价清单</w:t>
      </w:r>
    </w:p>
    <w:tbl>
      <w:tblPr>
        <w:tblStyle w:val="25"/>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627"/>
        <w:gridCol w:w="2472"/>
        <w:gridCol w:w="542"/>
        <w:gridCol w:w="1110"/>
        <w:gridCol w:w="688"/>
        <w:gridCol w:w="1388"/>
        <w:gridCol w:w="1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子项</w:t>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服务内容</w:t>
            </w: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单价</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合价（含税）</w:t>
            </w:r>
          </w:p>
        </w:tc>
        <w:tc>
          <w:tcPr>
            <w:tcW w:w="9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413" w:type="pct"/>
            <w:vMerge w:val="restart"/>
            <w:tcBorders>
              <w:top w:val="nil"/>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滨湖人文一期项目开荒保洁工程</w:t>
            </w:r>
          </w:p>
        </w:tc>
        <w:tc>
          <w:tcPr>
            <w:tcW w:w="33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公区部位等</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1.精装及毛坯公共部位：含架空层、公共走道、电梯前室、楼梯前室、地上地下大堂、归家大堂、电梯轿厢、屋面等；2.清洁方式、用品等综合考虑；3.满足招标文件“精装开荒服务”要求</w:t>
            </w: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13432.15</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3.50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47012.53</w:t>
            </w:r>
          </w:p>
        </w:tc>
        <w:tc>
          <w:tcPr>
            <w:tcW w:w="967" w:type="pc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按实际保洁公区建筑面积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2" w:hRule="atLeast"/>
        </w:trPr>
        <w:tc>
          <w:tcPr>
            <w:tcW w:w="413"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highlight w:val="none"/>
                <w:u w:val="none"/>
              </w:rPr>
            </w:pPr>
          </w:p>
        </w:tc>
        <w:tc>
          <w:tcPr>
            <w:tcW w:w="33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地下车库</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1.地下车库（（含落客区、停车位、行车道、设备用房））；2.清洁方式、用品等综合考虑；3.满足招标文件“精装开荒服务”要求</w:t>
            </w: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42269.44</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1.5</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63404.16</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967" w:type="pc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以地下室工规证总建面为准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3" w:hRule="atLeast"/>
        </w:trPr>
        <w:tc>
          <w:tcPr>
            <w:tcW w:w="413" w:type="pct"/>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highlight w:val="none"/>
                <w:u w:val="none"/>
              </w:rPr>
            </w:pPr>
          </w:p>
        </w:tc>
        <w:tc>
          <w:tcPr>
            <w:tcW w:w="33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ind w:left="199" w:leftChars="95" w:firstLine="0" w:firstLineChars="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外立面</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1.含所有铝合金门窗、百叶、玻璃、栏杆、铝单板、雨蓬、外立面石材(含大门）、幕墙等；2.清洁方式、用品等综合考虑；3.满足招标文件“精装开荒服务”要求。4.必须使用清水，不得破坏绿化</w:t>
            </w: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16589.62</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6.00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99573.72</w:t>
            </w:r>
          </w:p>
        </w:tc>
        <w:tc>
          <w:tcPr>
            <w:tcW w:w="967" w:type="pc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其中门窗按洞口尺寸，百叶按投影面积计算，除门窗和百叶外，剩余需清洁部位不单独计算单价需综合考虑在门窗和百叶综合单价中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413"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highlight w:val="none"/>
                <w:u w:val="none"/>
              </w:rPr>
            </w:pPr>
          </w:p>
        </w:tc>
        <w:tc>
          <w:tcPr>
            <w:tcW w:w="33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室外</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1.包括但不限于广场地面、各种灯具、各类广告灯箱</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、服务亭、各种标识、成品座椅、背景音 乐喇叭、垃圾桶、绿地、花池、树池、水景观、小品及旗杆、窨井盖、雨水井盖、各种配套设施、文体中心、幼儿园、商铺及商铺临街垃圾清扫等。2.清洁方式、用品等综合考虑；3.满足招标文件“精装开荒服务”要求。4.必须使用清水，不得破坏绿化</w:t>
            </w: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27562.18</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82686.54</w:t>
            </w:r>
          </w:p>
        </w:tc>
        <w:tc>
          <w:tcPr>
            <w:tcW w:w="967" w:type="pc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按实际地材地铺水平投影面积计算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4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合计（元）</w:t>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7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292640.94</w:t>
            </w:r>
            <w:r>
              <w:rPr>
                <w:rFonts w:hint="eastAsia" w:ascii="宋体" w:hAnsi="宋体" w:eastAsia="宋体" w:cs="宋体"/>
                <w:b/>
                <w:bCs/>
                <w:i w:val="0"/>
                <w:iCs w:val="0"/>
                <w:color w:val="000000"/>
                <w:kern w:val="0"/>
                <w:sz w:val="22"/>
                <w:szCs w:val="22"/>
                <w:highlight w:val="none"/>
                <w:u w:val="none"/>
                <w:lang w:val="en-US" w:eastAsia="zh-CN" w:bidi="ar"/>
              </w:rPr>
              <w:t xml:space="preserve"> </w:t>
            </w:r>
          </w:p>
        </w:tc>
        <w:tc>
          <w:tcPr>
            <w:tcW w:w="96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注：1.该单价包含现场测量、出具相关文件（报告）、管理费、税金、人员工资等一切相关费用。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2.最终出具的报告需获得相关部门认可。</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3.本清单测绘工程量为暂定，最终以实际相关测绘成果报告工程量为准。</w:t>
            </w:r>
          </w:p>
        </w:tc>
      </w:tr>
    </w:tbl>
    <w:p>
      <w:pPr>
        <w:numPr>
          <w:ilvl w:val="0"/>
          <w:numId w:val="0"/>
        </w:numPr>
        <w:snapToGrid w:val="0"/>
        <w:spacing w:line="360" w:lineRule="auto"/>
        <w:jc w:val="left"/>
        <w:rPr>
          <w:rFonts w:hint="eastAsia" w:ascii="Calibri" w:hAnsi="Calibri" w:eastAsia="宋体" w:cs="Times New Roman"/>
          <w:b/>
          <w:bCs w:val="0"/>
          <w:kern w:val="0"/>
          <w:sz w:val="24"/>
          <w:highlight w:val="none"/>
          <w:lang w:val="en-US" w:eastAsia="zh-CN"/>
        </w:rPr>
      </w:pPr>
    </w:p>
    <w:p>
      <w:pPr>
        <w:numPr>
          <w:ilvl w:val="0"/>
          <w:numId w:val="0"/>
        </w:numPr>
        <w:snapToGrid w:val="0"/>
        <w:spacing w:line="360" w:lineRule="auto"/>
        <w:jc w:val="left"/>
        <w:rPr>
          <w:rFonts w:hint="eastAsia" w:ascii="Calibri" w:hAnsi="Calibri" w:eastAsia="宋体" w:cs="Times New Roman"/>
          <w:b/>
          <w:bCs w:val="0"/>
          <w:color w:val="auto"/>
          <w:kern w:val="0"/>
          <w:sz w:val="24"/>
          <w:highlight w:val="none"/>
          <w:lang w:val="en-US" w:eastAsia="zh-CN"/>
        </w:rPr>
      </w:pPr>
      <w:r>
        <w:rPr>
          <w:rFonts w:hint="eastAsia" w:ascii="Calibri" w:hAnsi="Calibri" w:eastAsia="宋体" w:cs="Times New Roman"/>
          <w:b/>
          <w:bCs w:val="0"/>
          <w:color w:val="auto"/>
          <w:kern w:val="0"/>
          <w:sz w:val="24"/>
          <w:highlight w:val="none"/>
          <w:lang w:val="en-US" w:eastAsia="zh-CN"/>
        </w:rPr>
        <w:t>二、技术条款：</w:t>
      </w:r>
    </w:p>
    <w:p>
      <w:pPr>
        <w:snapToGrid w:val="0"/>
        <w:spacing w:line="240" w:lineRule="auto"/>
        <w:jc w:val="left"/>
        <w:rPr>
          <w:rFonts w:hint="default" w:ascii="Calibri" w:hAnsi="Calibri" w:eastAsia="宋体" w:cs="Times New Roman"/>
          <w:b/>
          <w:bCs w:val="0"/>
          <w:kern w:val="0"/>
          <w:sz w:val="21"/>
          <w:szCs w:val="21"/>
          <w:highlight w:val="none"/>
          <w:lang w:val="en-US" w:eastAsia="zh-CN" w:bidi="ar-SA"/>
        </w:rPr>
      </w:pPr>
      <w:r>
        <w:rPr>
          <w:rFonts w:hint="eastAsia" w:ascii="Calibri" w:hAnsi="Calibri" w:cs="Times New Roman"/>
          <w:b/>
          <w:bCs w:val="0"/>
          <w:kern w:val="0"/>
          <w:sz w:val="21"/>
          <w:szCs w:val="21"/>
          <w:highlight w:val="none"/>
          <w:lang w:val="en-US" w:eastAsia="zh-CN" w:bidi="ar-SA"/>
        </w:rPr>
        <w:t>（一）服务范围</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.开荒方式：由</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包人工、工具、设备、物料、安全文明施工、质量等全包方式对约定范围内的区域开荒。</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楼层公共区域、办公区(物业、文体中心及社区服务用房等)</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包括但不限于石材地面、其它地面、内外墙墙面、背景音乐喇叭、玻璃、踢脚线/板、指示牌、服务台、工作台、设备用房、消防栓箱、天花、风口格栅、百叶、灯饰、防火门、入户门、窗、不锈钢、消防栓、指示牌、报警铃、地毯、屋面等。</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电梯轿厢，包括但不限于天花及照明、内壁、门、框、按钮板、门槽、地面等。</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消防疏散通道，包括但不限于地面、墙面、风口、扶手、指示牌、玻璃窗、天花灯等。</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室外，包括但不限于广场地面、各种灯具、各类广告灯箱、服务亭、各种标识、成品座椅、背景音 乐喇叭、垃圾桶、绿地、花池、树池、水景观、小品及旗杆、窨井盖、雨水井盖、各种配套设施、商铺及商铺临街垃圾清扫等。</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地下停车场及各类设备用房，包括但不限于地面、棚面、日光灯、各种管道、烟感、温感、喷淋、背景音乐喇叭、通讯信号加强装置、风口、柱面、墙面、壁灯、手报、消防栓、门、踢脚线/板、交通设施设备、消防设施设备、地面、窨井盖、洗手间、各种标识、变电所、库房、风机房、楼梯间、垃圾房、控制室、办公区、收费亭、道闸机、地下车库内候梯厅及消防通道等。</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外立面，包括所有铝合金门窗、百叶、玻璃、栏杆、铝单板、雨蓬、外立面石材（含大门、廊架等）幕墙及涂料、设备平台、线条、凸窗板、管线等</w:t>
      </w:r>
      <w:r>
        <w:rPr>
          <w:rFonts w:hint="eastAsia" w:ascii="宋体" w:hAnsi="宋体" w:cs="宋体"/>
          <w:sz w:val="24"/>
          <w:szCs w:val="24"/>
          <w:highlight w:val="none"/>
          <w:lang w:val="en-US" w:eastAsia="zh-CN"/>
        </w:rPr>
        <w:t>。</w:t>
      </w:r>
    </w:p>
    <w:p>
      <w:pPr>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1.7中选人</w:t>
      </w:r>
      <w:r>
        <w:rPr>
          <w:rFonts w:hint="eastAsia" w:ascii="宋体" w:hAnsi="宋体" w:eastAsia="宋体" w:cs="宋体"/>
          <w:sz w:val="24"/>
          <w:szCs w:val="24"/>
          <w:highlight w:val="none"/>
          <w:lang w:val="en-US" w:eastAsia="zh-CN"/>
        </w:rPr>
        <w:t>及时或定期将</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现场残留、废弃的垃圾分类后运到</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或当地有关行政部门指定的地点</w:t>
      </w:r>
      <w:r>
        <w:rPr>
          <w:rFonts w:hint="eastAsia" w:ascii="宋体" w:hAnsi="宋体" w:cs="宋体"/>
          <w:sz w:val="24"/>
          <w:szCs w:val="24"/>
          <w:highlight w:val="none"/>
          <w:lang w:val="en-US" w:eastAsia="zh-CN"/>
        </w:rPr>
        <w:t>。</w:t>
      </w:r>
    </w:p>
    <w:p>
      <w:pPr>
        <w:pStyle w:val="23"/>
        <w:ind w:left="0" w:leftChars="0" w:firstLine="0" w:firstLineChars="0"/>
        <w:rPr>
          <w:rFonts w:hint="eastAsia"/>
          <w:lang w:val="en-US" w:eastAsia="zh-CN"/>
        </w:rPr>
      </w:pPr>
      <w:r>
        <w:rPr>
          <w:rFonts w:hint="eastAsia" w:ascii="Calibri" w:hAnsi="Calibri" w:eastAsia="宋体" w:cs="Times New Roman"/>
          <w:b/>
          <w:bCs w:val="0"/>
          <w:kern w:val="0"/>
          <w:sz w:val="21"/>
          <w:szCs w:val="21"/>
          <w:highlight w:val="none"/>
          <w:lang w:val="en-US" w:eastAsia="zh-CN" w:bidi="ar-SA"/>
        </w:rPr>
        <w:t>（二）服务要求</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1.中选人</w:t>
      </w:r>
      <w:r>
        <w:rPr>
          <w:rFonts w:hint="eastAsia" w:ascii="宋体" w:hAnsi="宋体" w:eastAsia="宋体" w:cs="宋体"/>
          <w:sz w:val="24"/>
          <w:szCs w:val="24"/>
          <w:highlight w:val="none"/>
          <w:lang w:val="en-US" w:eastAsia="zh-CN"/>
        </w:rPr>
        <w:t>自行负责保管休息室内存放物品</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不为</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人员提供住宿场所。</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指派专人对</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开荒服务给予必要配合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如</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要求给予合理协助，或提出合理建议，</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认可后给予全力支持。</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有权审核</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开荒服务计划并提出修改意见，</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必须遵守</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修改意见。</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有权对</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开荒服务全过程(包括</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作业方案及作业指导书、人员组织、服务质量、使用设备、耗材等)进行监督检查。如发现问题，</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可直接要求纠正或通知</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处理，</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应立即予以纠正处理。</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有权随时检查</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驻场人员签到簿，核查</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开荒服务人员数量。</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有权对</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开荒服务人员进行检查考评。</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认为不合格的人员，</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应按</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要求限期予以调换。</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应要求</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员工自觉维护本项目的清洁卫生及</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劳动成果，并应对有损本项目清洁卫生之不当行为予以制止或纠正。</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应按约定向</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支付开荒服务费。</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不因签署、执行本合同及对</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人员实施现场监管而与</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人员建立劳动或劳务关系，也不因此代</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对其人员承担任何责任。</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9.比选人</w:t>
      </w:r>
      <w:r>
        <w:rPr>
          <w:rFonts w:hint="eastAsia" w:ascii="宋体" w:hAnsi="宋体" w:eastAsia="宋体" w:cs="宋体"/>
          <w:sz w:val="24"/>
          <w:szCs w:val="24"/>
          <w:highlight w:val="none"/>
          <w:lang w:val="en-US" w:eastAsia="zh-CN"/>
        </w:rPr>
        <w:t>有权按实际情况调整开荒保洁实施部位及方式。</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作为专业保洁服务机构，保证其具有承揽</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的合法资格，并已对本项目开荒服务内容及工作量有充分认识，并已就人员、设施设备、物料等做好充足准备。</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11.中选人</w:t>
      </w:r>
      <w:r>
        <w:rPr>
          <w:rFonts w:hint="eastAsia" w:ascii="宋体" w:hAnsi="宋体" w:eastAsia="宋体" w:cs="宋体"/>
          <w:sz w:val="24"/>
          <w:szCs w:val="24"/>
          <w:highlight w:val="none"/>
          <w:lang w:val="en-US" w:eastAsia="zh-CN"/>
        </w:rPr>
        <w:t>应按照</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通知时间，参加</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组织召开的拓荒工作准备会议，并向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汇报工作准备情况。</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12.中选人</w:t>
      </w:r>
      <w:r>
        <w:rPr>
          <w:rFonts w:hint="eastAsia" w:ascii="宋体" w:hAnsi="宋体" w:eastAsia="宋体" w:cs="宋体"/>
          <w:sz w:val="24"/>
          <w:szCs w:val="24"/>
          <w:highlight w:val="none"/>
          <w:lang w:val="en-US" w:eastAsia="zh-CN"/>
        </w:rPr>
        <w:t>应在合同签订后5日内，向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提交开荒服务计划书。开荒服务计划书经</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书面确认后，</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应严格遵照作业。</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对开荒服务计划书的确认不减免</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应承担的责任，</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也不因此而承担责任。</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应在进场开荒15日前，向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提供其将用于本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下开荒服务的设备清单及实物图片，并在进场开荒3日前，向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提供全部进场作业人员名单。</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保证派驻本项目现场的服务人员均经过岗前培训，包括职业道德、技能及工作规范(含安全操作规范)等。</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14.中选人</w:t>
      </w:r>
      <w:r>
        <w:rPr>
          <w:rFonts w:hint="eastAsia" w:ascii="宋体" w:hAnsi="宋体" w:eastAsia="宋体" w:cs="宋体"/>
          <w:sz w:val="24"/>
          <w:szCs w:val="24"/>
          <w:highlight w:val="none"/>
          <w:lang w:val="en-US" w:eastAsia="zh-CN"/>
        </w:rPr>
        <w:t>应对其派驻服务人员进行教育、培训和管理，确保派驻服务人员熟悉并严格遵守</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各项规章制度，维护本项目内环境和秩序，爱护财物，注意言行举止，讲究礼貌礼节。如发现并查实</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服务人员有违法乱纪行为，</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应严肃处理，立即更换人员；如造成</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损失，</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应在</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要求时限内予以赔偿。</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应选派一名驻场项目经理，全面负责安排、督导本项目每日开荒服务，巡检现场开荒情况，及时做好工作记录，并负责日常联系</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主管负责人和进行工作汇报。</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确保合法用工，依法与其员工建立劳动合同关系，并保证该劳动合同关系在本合同履行期间合法存续。</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自行承担</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派驻项目经理及服务人员的工资、住房公积金、劳保福利、各项保险(含社保等)等费用，并向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提供相关证明文件复印件备案。</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不承担任何</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与其员工劳动合同项下责任，</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处理与其人员劳动纠纷不得影响本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正常履行。</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确保现场作业安全规范，并采取合理措施避免对他人造成损害。如</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服务人员发生工伤事故，或</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工作造成他人损害，</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应予赔偿，并承担全部责任和费用。本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履行期间，</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与其人员涉及劳动纠纷，均由</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自行处理，与</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无关。</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处理劳动纠纷等不得影响本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的正常履行。</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应在开荒服务中维护本项目设施设备完好，作业前务必做好成品保护工作。施工前若发现有损坏需与</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人员确认后再行施工。否则后期发现损坏统一由开荒单位照价赔偿。如因</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或其人员原因造成设施设备等物品损坏、丢失或经营损失，</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应承担赔偿责任。未经</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同意，</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或其人员不得使用本项目内非</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所有的任何设施、设备。</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确保其服务人员遵守</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有关库房管理规定，妥善使用休息室。</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人员必须统一着装进场作业(可统一穿马甲)。</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人员必须统一订餐，所有人员必须现场用餐，同时做好垃圾收集工作。</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人员如厕必须在</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指定地方，并确保现场整洁。</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人员现场不允许抽烟，</w:t>
      </w:r>
      <w:r>
        <w:rPr>
          <w:rFonts w:hint="eastAsia" w:ascii="宋体" w:hAnsi="宋体" w:eastAsia="宋体" w:cs="宋体"/>
          <w:color w:val="auto"/>
          <w:sz w:val="24"/>
          <w:szCs w:val="24"/>
          <w:highlight w:val="none"/>
          <w:lang w:val="en-US" w:eastAsia="zh-CN"/>
        </w:rPr>
        <w:t>每发现一次按</w:t>
      </w:r>
      <w:r>
        <w:rPr>
          <w:rFonts w:hint="eastAsia" w:ascii="宋体" w:hAnsi="宋体" w:cs="宋体"/>
          <w:color w:val="auto"/>
          <w:sz w:val="24"/>
          <w:szCs w:val="24"/>
          <w:highlight w:val="none"/>
          <w:lang w:val="en-US" w:eastAsia="zh-CN"/>
        </w:rPr>
        <w:t>200</w:t>
      </w:r>
      <w:r>
        <w:rPr>
          <w:rFonts w:hint="eastAsia" w:ascii="宋体" w:hAnsi="宋体" w:eastAsia="宋体" w:cs="宋体"/>
          <w:color w:val="auto"/>
          <w:sz w:val="24"/>
          <w:szCs w:val="24"/>
          <w:highlight w:val="none"/>
          <w:lang w:val="en-US" w:eastAsia="zh-CN"/>
        </w:rPr>
        <w:t>元/次扣除。</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.遇有紧急情况或突发事件，</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应在最短时间内配合</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工作，包括提供充足人员与设备，无条件服从</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现场工作人员调遣等。</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应为本项目开荒保洁配备高压水枪以及洗地机。</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服务期间，该等设备应持续留在本项目现场，未经</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书面认可，不得撤离。</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应保证其员工在执行开荒服务工作时配合</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整体安排，人员上下班必须至</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处报备登记。依照</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主管人员的指示行事，并应在约定时间内完成本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的开荒保洁工作。</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保证自己具备提供本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约定服务的合法资格，</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不得将工作转包给第三方。如发现转包，</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有权终止合同。</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应当对转委托的第三人的行为承担法律责任且</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可要求</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赔偿由此造成的一切损失。</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开荒服务涉及水、电由</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自行承担，</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负责协调使用。</w:t>
      </w:r>
    </w:p>
    <w:p>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交付期间，</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需无偿提供不少于5人的机动保洁人员，做好现场保洁清理。</w:t>
      </w:r>
    </w:p>
    <w:p>
      <w:pPr>
        <w:spacing w:line="360" w:lineRule="auto"/>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（三）开荒清洁服务质量检查标准</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一）室内标准(含物业用房、设备用房)</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1、地面：无污渍、水泥块、积水、垃圾、明显灰尘、无拖痕；</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2、墙面：无污渍、无粘贴物、无明显灰尘；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3、马桶：表面污渍、无明显灰尘；桶内无污渍、无建筑垃圾，排水通畅；</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4、电梯：无污渍、无锈迹、无水泥垢、无明显灰尘；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5、玻璃：无水泥垢、1米距离目测无污渍、玻璃划伤有物业或地产人员确定、有记录、无明显灰尘；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6、指示牌：无污渍、无锈迹、无明显灰尘；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7、信报箱：无锈迹、污渍、无水泥垢、无明显灰尘；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8、单元大门：无污渍、无粘贴物、目视无灰尘；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9、防火门、消火栓：无污渍、目视无积尘、无粘贴物；</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注：信报箱、单元大门、入户防盗门、防火门、电梯门套、电梯厅门等尽量带保护膜移交、保护膜上无灰尘、水泥垢及涂料类交叉污染；</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10、管道：无污渍、无水泥垢、无明显灰尘；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11、梯步、墙角线：无污渍、无水泥垢、无明显灰尘；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12、窗框、窗槽：无污渍、槽内无泥沙、无施工阶段的保护胶条、无清洗后的表面损伤、目视无积尘；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13、铁艺栏杆：无污渍、水泥垢、无明显灰尘；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14、天花板、屋顶：无蛛网、无污渍、无水泥垢、无施工遗弃物;</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15、天沟：无积沙，排水畅通。</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二）公区标准</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1、地面(小区干道、车行道、主干道、屋面):无污渍、无锈迹、无水泥垢;</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2、百叶窗、木制品、告示牌：无污渍、无粘贴物、无明显灰尘；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3、墙面：无污渍、无粘贴物、无明显灰尘；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4、雨排：安装时不高于地面、无杂物、水泥垢、排水通畅；</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5、花园内：无烟头、烟盒、纸屑、饭盒、无建筑垃圾、无施工遗弃物等</w:t>
      </w:r>
    </w:p>
    <w:p>
      <w:pPr>
        <w:spacing w:line="360" w:lineRule="auto"/>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（四）开荒清洁工作要求及考核办法</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开荒负责人必须在现场负责组织好每天的开荒工作，进行人员的调整搭配、上班时间、工作进度、 后勤保障、确保作业人员安全(包括高空作业安全、用电、设备使用)、成品的保护，人员与管理人员的搭配，每15 人配置一名主管负责人，负责人员的管理作业质量的监管、后勤保障等工作。</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1、开荒清洁主要工作项目要求</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1)清理现场：人员入场后先清理装修及施工遗留的大件物品及垃圾。</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2)全面吸尘：使用大功率真空吸尘器、尘推、毛市、汗衫面、全能清洁剂等，将全部墙面、台面、天花板、装饰吊顶、灯具等易附灰尘的材料、用品，除去灰尘。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3)清洁玻璃：使用玻璃刮，抹水器，奇亮玻璃清洁剂等，彻底清除污垢(包括窗框清理，保护膜的清理，窗户缝的吸尘，对一些顽固的水泥点胶质可用玻璃刀去除)。</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4)卫生间消毒：使用洁厕剂、消毒粉、全能清洁剂等专业药剂进行处理。</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5)装修痕迹的清理：针对装修后遗留的漆点、胶斑、涂料点、水泥点、铅笔划痕使用清洁球、专业铲刀、除胶剂、稀释等专用药剂进行细微处理。</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6)清洗地面：石材地坪表面使用擦地机进行清洗，用吸水吸尘机清除污水。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7)作业范围必须设有警示标识。</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2、开荒清洁人员安全要求</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1)要求选择厚底鞋，防止伤脚，不能穿高跟鞋与拖鞋，要穿平底鞋。</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2)搬运重物时要小心压脚，要戴手套。</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3)注意头部的安全，戴安全帽，特别注意尽量避开高空作业区。</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4)不触碰不会或操作不熟悉的所有设备，特别是电源设施。</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5)不能喝任何放在工作区域内的东西。</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6)用任何工具(梯子)或清洁剂(强酸碱)时，注意自己的安全。刀片不能放在口袋里面。不能在工作区域内快速跑动。</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7)高空作业需要佩戴安全带，使用人字梯必须2人作业确保安全。</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8)用电、按照比选人指定的连接点、不得私自使用、电线与用电设备必须附后用电要求，具备绝缘要求。</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3、开荒清洁物品安全要求</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1)门窗处于关闭上锁的状态。</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2)没有上级的同意，不能把物品借给别人。</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3)要有很强烈的安全意识，注意检查安全隐患(防火、防盗)。</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4)任何物品按规定存放整齐，不能乱摆乱放，乱扔乱丢。</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5)任何操作都要按规定的标准程序进行。</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6)搬运任何物品，要先移走上面的东西，需小心轻放。</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7)任何物品损坏或丢失后立即报告给上级。</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8)香蕉水不能在以下物品表面使用：a)棉质品；b)木质品；c)皮质品；d)金属制品；e)地毯；f)标志牌；g)漆。</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9)百洁布、钢丝球不能在以下物品表面使用：a)木质品；b)皮质品；c)金属制品；d)油漆；e)花岗石；f)玻璃；g)塑料制品。</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10)油灰刀不能在以下物品表面使用：a)木质品；b)皮质品；c)金属制品；d)油漆；e)花岗石。</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4、开荒清洁工作纪律要求</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1)各标段保洁人员按时上下班，不无故迟到早退；</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2)工作时间不允许干与本职工作无关的事；</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3)工作时间(含上班前用餐时)不得喝酒，在岗上不得吸烟；</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4)不在工作区域内用餐，不在非休息时间和地点休息；</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5)服从领导，按时、按质、按量完成上级交给的各项任务；</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6)自觉遵守公司及比选人的各项规章制度，爱护公司及比选人的各处设备、设施、用品等。损坏丢失机器设备、工具、工作服按公司规定赔偿；</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7)作业时，不得妨碍公共秩序及比选人人员(或租赁户)的活动，不许与比选人人员(或租赁户)发生口角或打架；</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8)不动比选人(或租赁户)的物品，严禁偷盗行为；</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9)中选人必须按照比选人要求的时间和数量及时配备人员，否则，每少一人按照200 元标准从中选人开荒费用中扣除，如果每日缺少人数达10%以上，将扣除参选人以往开荒费用总和的1/2；比选人按照比选文件、合同进行不定时核实，发现比要求人员数量缺少的，每缺少一人按照每日200元进行扣除，如果每日缺少人数达10%以上，将扣除中选人以往开荒费用总和的1/2；</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10)中选人必须全力配合比选人的安排，如发生不服从比选人的安排，拒不执行的，每项每次处以5000 元违约金；</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比选人在检查中选人作业过程、结果时，发现不符合质量标准任意一项，在规定时限内没有采取有效的处理措施达到质量要求，比选人将扣除中选人该项作业500元，连续出现5次的，将扣除中选人全部开荒费用。</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5、保洁开荒工作方法</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(1)区域开荒顺序：</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大垃圾清运——初步打扫——除尘——天花-—墙、门、玻璃——洗地或吸尘(彻底清洁地面)——打蜡、结晶或地毯清洗——检查——收工具</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(2)玻璃开荒顺序：</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除尘——-除涂料、胶——-洗刮--再次除涂料、胶---再次洗刮</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(3)内场开荒的工作</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1）大垃圾清运：</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A.先确认是否是垃圾。</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B.清运时注意安全。</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C.留意管道井内、消防栓内、角落、通道是否有垃圾。</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2）打扫(小垃圾、尘土)</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从上到下、从里到外、注意角落。</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3）除尘(天花掸尘、吸尘)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整体除尘、从上到下、从里到外、注意角落、吸尘。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4）天花(用梯子一定要小心)</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5）通风口(尘土、涂料、商标)拆洗尘网。</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6）灯：注意安全，关灯，可拆下清洁(商标),不能用湿抹布抹带电热灯泡，灯罩侧槽彻底清洁，吊灯吸尘。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7）消防装置。</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8）检修口(注意勿留手印)。</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9）天花板。</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10）墙、门、玻璃</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 墙：硬质面材、观光电梯门和框、壁灯、警铃、手报、消防栓、安全出口指示灯</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B.开关、插座、指示牌、管道间、踢脚线。</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C.门：闭门器、门把、铰链折叶。</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D.玻璃：外框——内框——里面——外面</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a)除(抹)尘(二次),注意彻底清洁窗角。</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b）用刀片去涂料，水溶性污渍用水清洁，非水溶性用白色百结布或废磁卡清洁，窗轨先吸尘，清除涂料。</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c)内框抹尘，除涂料。</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d)工程问题，刮玻璃前先检查。</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e)清洁玻璃，里面外面(涂料、胶、污迹和灰尘)。</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11）洗地或吸尘，彻底清洁地面:去除灰尘、污迹，方便检查涂料或顽迹，去除涂料或顽迹。</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12）打蜡、结晶或地毯清洗。</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6、保洁开荒工具的使用方法</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(1)刀片的使用方法：选择刀片</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a)新的。</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b)完整的、无缺口、无锈迹。</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(2)二个角度</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(2.1)刀刃与玻璃接触处于紧贴状态(0度)。</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(2.2)刀面与玻璃的角度(30度)。</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a).竖刮或横刮。</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b).力度适中。</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c).先四边后中间。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d)包装纸不要乱丢。</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(3)云石铲刀的使用方法：</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a)检查刀片：新的、完整的、无缺口、无锈迹。</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b)清除云石地面上的水泥、涂料、胶。</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c)二个角度：0度、30度。</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d)按顺序，重复四分之一，防止遗漏。</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e)用手(摸),眼睛(逆光)检查胶迹。</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f)用手操作，直接使用。</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g)逆光检查。</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(4)油灰刀的使用方法：</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a)二个角度：0度、30度。</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b)横着使用。</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c)重叠。</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d)不能用铲刀敲打地面。</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e)大块的水泥先用铁锤，再用铲刀彻底铲除。</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f)凹凸不平地面的白水泥，用盐酸加钢丝球处理。</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(5)梯子的使用方法：</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(5.1)检查</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a)踏步完好、牢固、平整。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b)脚垫完好，张开放好时平衡。</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c)中轴完好。</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d)所有钉子要牢固。</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e)两个固定架牢固。</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f)梯子保持干净。</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g)梯子无裂痕。</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(5.2)使用</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a)2.5 米以上，下面要有人扶梯。</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b)身体不适时，不要使用梯子。</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c)使用4.5米以上梯子或升降梯要系安全带。</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d)不能站在顶格上操作。</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e)梯子在使用时完全张开。</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f)不能使用不牢固的物品作为支撑物，身体时刻保持平衡。</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g)梯子要小心，用手扶梯不能带重物。</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h)穿防滑平底鞋。</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i)注意坠物不要伤害到别人。</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j)防止梯脚滑动，梯子张开时要平稳，用在松软的地上时更加要注意平稳，不能用不坚固、小面积的物品来垫梯脚，选择</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坚硬、牢固、不打滑的平地放梯子，在斜坡、楼梯不能用梯子.</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k)梯子张开一定要有足够的放置空间。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l)不能在黑暗中使用梯子。</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m)放置梯子时，张开放置或放倒放置，有风的时候躺着放。</w:t>
      </w:r>
    </w:p>
    <w:p>
      <w:pPr>
        <w:spacing w:line="360" w:lineRule="auto"/>
        <w:rPr>
          <w:rFonts w:hint="eastAsia" w:ascii="仿宋_GB2312" w:hAnsi="仿宋_GB2312" w:eastAsia="仿宋_GB2312" w:cs="仿宋_GB2312"/>
          <w:sz w:val="32"/>
          <w:szCs w:val="32"/>
        </w:rPr>
      </w:pPr>
      <w:r>
        <w:rPr>
          <w:rFonts w:hint="eastAsia" w:ascii="宋体" w:hAnsi="宋体" w:cs="宋体"/>
          <w:sz w:val="24"/>
          <w:szCs w:val="24"/>
          <w:highlight w:val="none"/>
          <w:lang w:val="en-US" w:eastAsia="zh-CN"/>
        </w:rPr>
        <w:t>n)操作时不能与扶梯的同事聊天，注意力集中。</w:t>
      </w:r>
    </w:p>
    <w:p>
      <w:pPr>
        <w:spacing w:line="360" w:lineRule="auto"/>
        <w:rPr>
          <w:rFonts w:hint="eastAsia" w:ascii="宋体" w:hAnsi="宋体" w:eastAsia="宋体" w:cs="宋体"/>
          <w:b/>
          <w:bCs/>
          <w:sz w:val="24"/>
          <w:szCs w:val="24"/>
          <w:highlight w:val="none"/>
          <w:lang w:val="en-US" w:eastAsia="zh-CN"/>
        </w:rPr>
      </w:pP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三、商务条款：</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服务期限</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总工期1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日历天，具体开工时间以</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通知为准。</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开荒清洁工作完成需经</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及代建方验收并确认合格。</w:t>
      </w:r>
    </w:p>
    <w:p>
      <w:pPr>
        <w:pStyle w:val="23"/>
        <w:rPr>
          <w:rFonts w:hint="eastAsia"/>
          <w:lang w:val="en-US" w:eastAsia="zh-CN"/>
        </w:rPr>
      </w:pPr>
    </w:p>
    <w:p>
      <w:pPr>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2、付款及结算</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2.1中选人完成比选人指定的开荒保洁工作，经比选人及代建验收合格后提交进度付款申请单，比选人应在收到进度付款申请单且中选人提交了合格的增值税专用发票后的 28 天内，将进度应付款支付给承中选人，比选人向中选人支付当期开荒服务费。</w:t>
      </w:r>
    </w:p>
    <w:p>
      <w:pPr>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2.2进度款支付计算方式：比选人、中选人双方确认的工程量*中标单价*80%</w:t>
      </w:r>
    </w:p>
    <w:p>
      <w:pPr>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2.3结算方式：最终结算金额以中标清单面积计算规则*中标单价；</w:t>
      </w:r>
    </w:p>
    <w:p>
      <w:pPr>
        <w:spacing w:line="360" w:lineRule="auto"/>
        <w:rPr>
          <w:rFonts w:hint="default" w:ascii="宋体" w:hAnsi="宋体" w:cs="宋体"/>
          <w:sz w:val="24"/>
          <w:szCs w:val="24"/>
          <w:highlight w:val="none"/>
          <w:lang w:val="en-US" w:eastAsia="zh-CN"/>
        </w:rPr>
      </w:pP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违约责任</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lang w:val="en-US" w:eastAsia="zh-CN"/>
        </w:rPr>
        <w:t>如</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未能按期完成开荒服务(包括未通过</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验收返工等情况)</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每逾期1日，</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支付相当于开荒服务费总额2%的违约金。</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r>
        <w:rPr>
          <w:rFonts w:hint="eastAsia" w:ascii="宋体" w:hAnsi="宋体" w:eastAsia="宋体" w:cs="宋体"/>
          <w:sz w:val="24"/>
          <w:szCs w:val="24"/>
          <w:highlight w:val="none"/>
          <w:lang w:val="en-US" w:eastAsia="zh-CN"/>
        </w:rPr>
        <w:t>发生如下情况之一，视为</w:t>
      </w:r>
      <w:r>
        <w:rPr>
          <w:rFonts w:hint="eastAsia" w:ascii="宋体" w:hAnsi="宋体" w:cs="宋体"/>
          <w:sz w:val="24"/>
          <w:szCs w:val="24"/>
          <w:highlight w:val="none"/>
          <w:lang w:val="en-US" w:eastAsia="zh-CN"/>
        </w:rPr>
        <w:t>参选人</w:t>
      </w:r>
      <w:r>
        <w:rPr>
          <w:rFonts w:hint="eastAsia" w:ascii="宋体" w:hAnsi="宋体" w:eastAsia="宋体" w:cs="宋体"/>
          <w:sz w:val="24"/>
          <w:szCs w:val="24"/>
          <w:highlight w:val="none"/>
          <w:lang w:val="en-US" w:eastAsia="zh-CN"/>
        </w:rPr>
        <w:t>严重违约，</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有权立即解除合同，并不予支付未结算款项，同时要求</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支付本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开荒服务费总额20%作为违约金：</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(1)未经</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事先书面允许，</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将开荒服务全部或部分转包给第三方。</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作业过程中发生重大安全事故。</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逾期完成开荒服务超过5个日历日。</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r>
        <w:rPr>
          <w:rFonts w:hint="eastAsia" w:ascii="宋体" w:hAnsi="宋体" w:eastAsia="宋体" w:cs="宋体"/>
          <w:sz w:val="24"/>
          <w:szCs w:val="24"/>
          <w:highlight w:val="none"/>
          <w:lang w:val="en-US" w:eastAsia="zh-CN"/>
        </w:rPr>
        <w:t>未经</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书面同意，</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不得提前解除本合同。如</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擅自解约的，应支付</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开荒服务费总额10%作为违约金，且</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有权不予支付未结算款项。</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r>
        <w:rPr>
          <w:rFonts w:hint="eastAsia" w:ascii="宋体" w:hAnsi="宋体" w:eastAsia="宋体" w:cs="宋体"/>
          <w:sz w:val="24"/>
          <w:szCs w:val="24"/>
          <w:highlight w:val="none"/>
          <w:lang w:val="en-US" w:eastAsia="zh-CN"/>
        </w:rPr>
        <w:t>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因</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违约导致提前终止(包括</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行使合同解除权的情况)</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除按照相关约定承担违约责任外，还应向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支付相当于开荒服务费总额10%的违约金。</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r>
        <w:rPr>
          <w:rFonts w:hint="eastAsia" w:ascii="宋体" w:hAnsi="宋体" w:eastAsia="宋体" w:cs="宋体"/>
          <w:sz w:val="24"/>
          <w:szCs w:val="24"/>
          <w:highlight w:val="none"/>
          <w:lang w:val="en-US" w:eastAsia="zh-CN"/>
        </w:rPr>
        <w:t>在</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违约的情况下，如果</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支付的违约金不足以补偿</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因</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违约行为而遭受的损失，则</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有权要求</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就差额部分予以补偿并使</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免受损失。</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r>
        <w:rPr>
          <w:rFonts w:hint="eastAsia" w:ascii="宋体" w:hAnsi="宋体" w:eastAsia="宋体" w:cs="宋体"/>
          <w:sz w:val="24"/>
          <w:szCs w:val="24"/>
          <w:highlight w:val="none"/>
          <w:lang w:val="en-US" w:eastAsia="zh-CN"/>
        </w:rPr>
        <w:t>无论任何原因导致本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终止，</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均应按</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要求限期撤走全部人员和设备，否则每逾期1日，</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应向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支付相当于开荒服务费总额的1%的滞留违约金。</w:t>
      </w:r>
    </w:p>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w:t>
      </w:r>
      <w:r>
        <w:rPr>
          <w:rFonts w:hint="eastAsia" w:ascii="宋体" w:hAnsi="宋体" w:eastAsia="宋体" w:cs="宋体"/>
          <w:sz w:val="24"/>
          <w:szCs w:val="24"/>
          <w:highlight w:val="none"/>
          <w:lang w:val="en-US" w:eastAsia="zh-CN"/>
        </w:rPr>
        <w:t>本</w:t>
      </w:r>
      <w:r>
        <w:rPr>
          <w:rFonts w:hint="eastAsia" w:ascii="宋体" w:hAnsi="宋体" w:cs="宋体"/>
          <w:sz w:val="24"/>
          <w:szCs w:val="24"/>
          <w:highlight w:val="none"/>
          <w:lang w:val="en-US" w:eastAsia="zh-CN"/>
        </w:rPr>
        <w:t>项目中选人</w:t>
      </w:r>
      <w:r>
        <w:rPr>
          <w:rFonts w:hint="eastAsia" w:ascii="宋体" w:hAnsi="宋体" w:eastAsia="宋体" w:cs="宋体"/>
          <w:sz w:val="24"/>
          <w:szCs w:val="24"/>
          <w:highlight w:val="none"/>
          <w:lang w:val="en-US" w:eastAsia="zh-CN"/>
        </w:rPr>
        <w:t>应承担的违约金或赔偿金，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有权从应付</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的任何一笔款项及</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val="en-US" w:eastAsia="zh-CN"/>
        </w:rPr>
        <w:t>履约保证金中直接扣除。</w:t>
      </w:r>
    </w:p>
    <w:p>
      <w:pPr>
        <w:pStyle w:val="23"/>
        <w:spacing w:line="360" w:lineRule="auto"/>
        <w:ind w:left="0" w:leftChars="0" w:firstLine="0" w:firstLineChars="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3.8本项目违约方的损失赔偿范围包括守约方的直接损失和间接损失，包括但不限于守约方向第三方承担的赔偿责任、诉讼费、仲裁费、律师费、鉴定费等费用支出。</w:t>
      </w:r>
    </w:p>
    <w:p>
      <w:pPr>
        <w:pStyle w:val="12"/>
        <w:rPr>
          <w:rFonts w:hint="default"/>
          <w:lang w:val="en-US" w:eastAsia="zh-CN"/>
        </w:rPr>
      </w:pPr>
    </w:p>
    <w:p>
      <w:pPr>
        <w:pStyle w:val="23"/>
        <w:rPr>
          <w:rFonts w:hint="default"/>
          <w:lang w:val="en-US" w:eastAsia="zh-CN"/>
        </w:rPr>
      </w:pPr>
    </w:p>
    <w:p>
      <w:pPr>
        <w:pStyle w:val="22"/>
        <w:spacing w:line="360" w:lineRule="auto"/>
        <w:jc w:val="center"/>
        <w:outlineLvl w:val="0"/>
        <w:rPr>
          <w:rStyle w:val="60"/>
          <w:rFonts w:hint="eastAsia"/>
          <w:color w:val="auto"/>
          <w:highlight w:val="none"/>
        </w:rPr>
      </w:pPr>
      <w:r>
        <w:rPr>
          <w:rFonts w:hint="eastAsia" w:ascii="宋体" w:hAnsi="宋体" w:eastAsia="宋体" w:cs="宋体"/>
          <w:b/>
          <w:bCs/>
          <w:sz w:val="24"/>
          <w:szCs w:val="24"/>
          <w:highlight w:val="none"/>
          <w:lang w:val="en-US" w:eastAsia="zh-CN"/>
        </w:rPr>
        <w:t>注：上述技术条款、商务条款均须完全响应，否则视为无效响应。</w:t>
      </w:r>
      <w:r>
        <w:rPr>
          <w:rStyle w:val="60"/>
          <w:rFonts w:hint="eastAsia"/>
          <w:color w:val="auto"/>
          <w:highlight w:val="none"/>
        </w:rPr>
        <w:br w:type="page"/>
      </w:r>
      <w:bookmarkStart w:id="39" w:name="_Toc21843"/>
    </w:p>
    <w:p>
      <w:pPr>
        <w:pStyle w:val="22"/>
        <w:spacing w:line="280" w:lineRule="atLeast"/>
        <w:jc w:val="center"/>
        <w:outlineLvl w:val="0"/>
        <w:rPr>
          <w:rStyle w:val="60"/>
          <w:rFonts w:hint="eastAsia"/>
          <w:color w:val="auto"/>
          <w:highlight w:val="none"/>
        </w:rPr>
      </w:pPr>
      <w:r>
        <w:rPr>
          <w:rStyle w:val="60"/>
          <w:rFonts w:hint="eastAsia"/>
          <w:color w:val="auto"/>
          <w:highlight w:val="none"/>
        </w:rPr>
        <w:t>第五</w:t>
      </w:r>
      <w:r>
        <w:rPr>
          <w:rFonts w:hint="eastAsia" w:ascii="_x000B__x000C_" w:hAnsi="_x000B__x000C_"/>
          <w:b/>
          <w:bCs/>
          <w:sz w:val="36"/>
          <w:szCs w:val="36"/>
          <w:highlight w:val="none"/>
        </w:rPr>
        <w:t>章</w:t>
      </w:r>
      <w:r>
        <w:rPr>
          <w:rFonts w:hint="eastAsia" w:ascii="_x000B__x000C_" w:hAnsi="_x000B__x000C_" w:eastAsia="宋体"/>
          <w:b/>
          <w:bCs/>
          <w:sz w:val="36"/>
          <w:szCs w:val="36"/>
          <w:highlight w:val="none"/>
        </w:rPr>
        <w:t xml:space="preserve">  </w:t>
      </w:r>
      <w:bookmarkEnd w:id="39"/>
      <w:r>
        <w:rPr>
          <w:rFonts w:hint="eastAsia" w:ascii="_x000B__x000C_" w:hAnsi="_x000B__x000C_" w:eastAsia="宋体"/>
          <w:b/>
          <w:bCs/>
          <w:sz w:val="36"/>
          <w:szCs w:val="36"/>
          <w:highlight w:val="none"/>
        </w:rPr>
        <w:t>合同基本条款</w:t>
      </w:r>
    </w:p>
    <w:p>
      <w:pPr>
        <w:pStyle w:val="23"/>
        <w:snapToGrid w:val="0"/>
        <w:spacing w:after="0" w:line="360" w:lineRule="auto"/>
        <w:rPr>
          <w:rFonts w:hint="eastAsia" w:ascii="_x000B__x000C_" w:hAnsi="_x000B__x000C_"/>
          <w:szCs w:val="18"/>
          <w:highlight w:val="none"/>
          <w:lang w:eastAsia="zh-CN"/>
        </w:rPr>
      </w:pPr>
    </w:p>
    <w:p>
      <w:pPr>
        <w:pStyle w:val="23"/>
        <w:snapToGrid w:val="0"/>
        <w:spacing w:after="0" w:line="360" w:lineRule="auto"/>
        <w:jc w:val="center"/>
        <w:rPr>
          <w:rFonts w:ascii="_x000B__x000C_" w:hAnsi="_x000B__x000C_"/>
          <w:szCs w:val="18"/>
          <w:highlight w:val="none"/>
        </w:rPr>
      </w:pPr>
      <w:r>
        <w:rPr>
          <w:rFonts w:hint="eastAsia" w:ascii="宋体" w:hAnsi="宋体" w:eastAsia="宋体" w:cs="微软雅黑"/>
          <w:sz w:val="24"/>
          <w:szCs w:val="32"/>
          <w:highlight w:val="none"/>
        </w:rPr>
        <w:t>具体合同签订事宜，待中选后与比选人协商再定。</w:t>
      </w:r>
    </w:p>
    <w:p>
      <w:pPr>
        <w:pStyle w:val="23"/>
        <w:rPr>
          <w:rFonts w:ascii="_x000B__x000C_" w:hAnsi="_x000B__x000C_"/>
          <w:szCs w:val="18"/>
          <w:highlight w:val="none"/>
        </w:rPr>
      </w:pPr>
    </w:p>
    <w:p>
      <w:pPr>
        <w:pStyle w:val="23"/>
        <w:rPr>
          <w:rFonts w:ascii="_x000B__x000C_" w:hAnsi="_x000B__x000C_"/>
          <w:szCs w:val="18"/>
          <w:highlight w:val="none"/>
        </w:rPr>
      </w:pPr>
    </w:p>
    <w:p>
      <w:pPr>
        <w:pStyle w:val="23"/>
        <w:rPr>
          <w:rFonts w:ascii="_x000B__x000C_" w:hAnsi="_x000B__x000C_"/>
          <w:szCs w:val="18"/>
          <w:highlight w:val="none"/>
        </w:rPr>
      </w:pPr>
    </w:p>
    <w:p>
      <w:pPr>
        <w:spacing w:line="440" w:lineRule="exact"/>
        <w:jc w:val="center"/>
        <w:outlineLvl w:val="0"/>
        <w:rPr>
          <w:rFonts w:hint="eastAsia"/>
          <w:b/>
          <w:sz w:val="32"/>
          <w:szCs w:val="32"/>
          <w:highlight w:val="none"/>
        </w:rPr>
      </w:pPr>
      <w:r>
        <w:rPr>
          <w:rFonts w:hint="eastAsia"/>
          <w:b/>
          <w:sz w:val="32"/>
          <w:szCs w:val="32"/>
          <w:highlight w:val="none"/>
        </w:rPr>
        <w:br w:type="page"/>
      </w:r>
      <w:bookmarkStart w:id="40" w:name="page47"/>
      <w:bookmarkEnd w:id="40"/>
      <w:bookmarkStart w:id="41" w:name="_Toc24951"/>
      <w:bookmarkStart w:id="42" w:name="_Toc19543"/>
    </w:p>
    <w:p>
      <w:pPr>
        <w:spacing w:line="440" w:lineRule="exact"/>
        <w:jc w:val="center"/>
        <w:outlineLvl w:val="0"/>
        <w:rPr>
          <w:rStyle w:val="60"/>
          <w:rFonts w:hint="eastAsia"/>
          <w:color w:val="auto"/>
          <w:highlight w:val="none"/>
        </w:rPr>
      </w:pPr>
      <w:r>
        <w:rPr>
          <w:rStyle w:val="60"/>
          <w:rFonts w:hint="eastAsia"/>
          <w:color w:val="auto"/>
          <w:highlight w:val="none"/>
        </w:rPr>
        <w:t>第六章    参选文件格式</w:t>
      </w:r>
      <w:bookmarkEnd w:id="41"/>
      <w:bookmarkEnd w:id="42"/>
    </w:p>
    <w:p>
      <w:pPr>
        <w:pStyle w:val="23"/>
        <w:rPr>
          <w:highlight w:val="none"/>
        </w:rPr>
      </w:pPr>
    </w:p>
    <w:p>
      <w:pPr>
        <w:spacing w:line="296" w:lineRule="auto"/>
        <w:rPr>
          <w:rFonts w:ascii="Arial"/>
          <w:highlight w:val="none"/>
        </w:rPr>
      </w:pPr>
    </w:p>
    <w:p>
      <w:pPr>
        <w:spacing w:line="296" w:lineRule="auto"/>
        <w:rPr>
          <w:rFonts w:ascii="Arial"/>
          <w:highlight w:val="none"/>
        </w:rPr>
      </w:pPr>
    </w:p>
    <w:p>
      <w:pPr>
        <w:spacing w:line="297" w:lineRule="auto"/>
        <w:rPr>
          <w:rFonts w:ascii="Arial"/>
          <w:highlight w:val="none"/>
        </w:rPr>
      </w:pPr>
    </w:p>
    <w:p>
      <w:pPr>
        <w:tabs>
          <w:tab w:val="left" w:pos="5907"/>
        </w:tabs>
        <w:spacing w:before="101" w:line="227" w:lineRule="auto"/>
        <w:ind w:left="2039"/>
        <w:rPr>
          <w:rFonts w:ascii="黑体" w:hAnsi="黑体" w:eastAsia="黑体" w:cs="黑体"/>
          <w:sz w:val="31"/>
          <w:szCs w:val="31"/>
          <w:highlight w:val="none"/>
        </w:rPr>
      </w:pPr>
      <w:r>
        <w:rPr>
          <w:rFonts w:ascii="黑体" w:hAnsi="黑体" w:eastAsia="黑体" w:cs="黑体"/>
          <w:sz w:val="31"/>
          <w:szCs w:val="31"/>
          <w:highlight w:val="none"/>
          <w:u w:val="single"/>
        </w:rPr>
        <w:tab/>
      </w:r>
      <w:r>
        <w:rPr>
          <w:rFonts w:hint="eastAsia" w:ascii="黑体" w:hAnsi="黑体" w:eastAsia="黑体" w:cs="黑体"/>
          <w:spacing w:val="4"/>
          <w:sz w:val="31"/>
          <w:szCs w:val="31"/>
          <w:highlight w:val="none"/>
        </w:rPr>
        <w:t>（项目名称）</w:t>
      </w:r>
    </w:p>
    <w:p>
      <w:pPr>
        <w:spacing w:before="160" w:line="223" w:lineRule="auto"/>
        <w:ind w:left="983" w:firstLine="908" w:firstLineChars="200"/>
        <w:rPr>
          <w:rFonts w:hint="eastAsia" w:ascii="宋体" w:hAnsi="宋体" w:eastAsia="宋体" w:cs="宋体"/>
          <w:sz w:val="47"/>
          <w:szCs w:val="47"/>
          <w:highlight w:val="none"/>
          <w:lang w:eastAsia="zh-CN"/>
        </w:rPr>
      </w:pPr>
      <w:r>
        <w:rPr>
          <w:rFonts w:hint="eastAsia" w:ascii="宋体" w:hAnsi="宋体" w:cs="宋体"/>
          <w:spacing w:val="-8"/>
          <w:sz w:val="47"/>
          <w:szCs w:val="47"/>
          <w:highlight w:val="none"/>
          <w:lang w:eastAsia="zh-CN"/>
        </w:rPr>
        <w:t>项目</w:t>
      </w:r>
      <w:r>
        <w:rPr>
          <w:rFonts w:ascii="宋体" w:hAnsi="宋体" w:cs="宋体"/>
          <w:spacing w:val="-5"/>
          <w:sz w:val="47"/>
          <w:szCs w:val="47"/>
          <w:highlight w:val="none"/>
        </w:rPr>
        <w:t>编号：</w:t>
      </w:r>
      <w:r>
        <w:rPr>
          <w:rFonts w:hint="eastAsia" w:ascii="宋体" w:hAnsi="宋体" w:cs="宋体"/>
          <w:spacing w:val="-5"/>
          <w:sz w:val="47"/>
          <w:szCs w:val="47"/>
          <w:highlight w:val="none"/>
          <w:lang w:eastAsia="zh-CN"/>
        </w:rPr>
        <w:t>JXHA20240407</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参</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选</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文</w:t>
      </w:r>
    </w:p>
    <w:p>
      <w:pPr>
        <w:spacing w:line="242" w:lineRule="auto"/>
        <w:jc w:val="center"/>
        <w:rPr>
          <w:rFonts w:ascii="Arial"/>
          <w:highlight w:val="none"/>
        </w:rPr>
      </w:pPr>
      <w:r>
        <w:rPr>
          <w:rFonts w:hint="eastAsia" w:ascii="黑体" w:eastAsia="黑体"/>
          <w:b/>
          <w:bCs/>
          <w:sz w:val="72"/>
          <w:szCs w:val="72"/>
          <w:highlight w:val="none"/>
        </w:rPr>
        <w:t>件</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101" w:line="375" w:lineRule="auto"/>
        <w:ind w:left="779" w:right="164" w:firstLine="33"/>
        <w:rPr>
          <w:rFonts w:hint="eastAsia" w:ascii="宋体" w:hAnsi="宋体" w:cs="宋体"/>
          <w:sz w:val="31"/>
          <w:szCs w:val="31"/>
          <w:highlight w:val="none"/>
        </w:rPr>
      </w:pPr>
      <w:r>
        <w:rPr>
          <w:rFonts w:ascii="宋体" w:hAnsi="宋体" w:cs="宋体"/>
          <w:spacing w:val="2"/>
          <w:sz w:val="31"/>
          <w:szCs w:val="31"/>
          <w:highlight w:val="none"/>
        </w:rPr>
        <w:t>参选单位：</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2"/>
          <w:sz w:val="31"/>
          <w:szCs w:val="31"/>
          <w:highlight w:val="none"/>
        </w:rPr>
        <w:t>法定代表人：</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12"/>
          <w:sz w:val="31"/>
          <w:szCs w:val="31"/>
          <w:highlight w:val="none"/>
        </w:rPr>
        <w:t>联</w:t>
      </w:r>
      <w:r>
        <w:rPr>
          <w:rFonts w:ascii="宋体" w:hAnsi="宋体" w:cs="宋体"/>
          <w:spacing w:val="-8"/>
          <w:sz w:val="31"/>
          <w:szCs w:val="31"/>
          <w:highlight w:val="none"/>
        </w:rPr>
        <w:t>系</w:t>
      </w:r>
      <w:r>
        <w:rPr>
          <w:rFonts w:ascii="宋体" w:hAnsi="宋体" w:cs="宋体"/>
          <w:spacing w:val="-6"/>
          <w:sz w:val="31"/>
          <w:szCs w:val="31"/>
          <w:highlight w:val="none"/>
        </w:rPr>
        <w:t>人：</w:t>
      </w:r>
      <w:r>
        <w:rPr>
          <w:rFonts w:ascii="宋体" w:hAnsi="宋体" w:cs="宋体"/>
          <w:spacing w:val="-6"/>
          <w:sz w:val="31"/>
          <w:szCs w:val="31"/>
          <w:highlight w:val="none"/>
          <w:u w:val="single"/>
        </w:rPr>
        <w:t xml:space="preserve">                  </w:t>
      </w:r>
      <w:r>
        <w:rPr>
          <w:rFonts w:ascii="宋体" w:hAnsi="宋体" w:cs="宋体"/>
          <w:spacing w:val="-6"/>
          <w:sz w:val="31"/>
          <w:szCs w:val="31"/>
          <w:highlight w:val="none"/>
        </w:rPr>
        <w:t>电话：</w:t>
      </w:r>
      <w:r>
        <w:rPr>
          <w:rFonts w:ascii="宋体" w:hAnsi="宋体" w:cs="宋体"/>
          <w:spacing w:val="-6"/>
          <w:sz w:val="31"/>
          <w:szCs w:val="31"/>
          <w:highlight w:val="none"/>
          <w:u w:val="single"/>
        </w:rPr>
        <w:t xml:space="preserve">                </w:t>
      </w:r>
      <w:r>
        <w:rPr>
          <w:rFonts w:ascii="宋体" w:hAnsi="宋体" w:cs="宋体"/>
          <w:sz w:val="31"/>
          <w:szCs w:val="31"/>
          <w:highlight w:val="none"/>
        </w:rPr>
        <w:t xml:space="preserve">  </w:t>
      </w:r>
    </w:p>
    <w:p>
      <w:pPr>
        <w:spacing w:before="101" w:line="375" w:lineRule="auto"/>
        <w:ind w:left="779" w:right="164" w:firstLine="33"/>
        <w:rPr>
          <w:rFonts w:ascii="宋体" w:hAnsi="宋体" w:cs="宋体"/>
          <w:sz w:val="31"/>
          <w:szCs w:val="31"/>
          <w:highlight w:val="none"/>
        </w:rPr>
      </w:pPr>
      <w:r>
        <w:rPr>
          <w:rFonts w:ascii="宋体" w:hAnsi="宋体" w:cs="宋体"/>
          <w:spacing w:val="5"/>
          <w:sz w:val="31"/>
          <w:szCs w:val="31"/>
          <w:highlight w:val="none"/>
        </w:rPr>
        <w:t>投递日期：</w:t>
      </w:r>
      <w:r>
        <w:rPr>
          <w:rFonts w:ascii="宋体" w:hAnsi="宋体" w:cs="宋体"/>
          <w:sz w:val="31"/>
          <w:szCs w:val="31"/>
          <w:highlight w:val="none"/>
          <w:u w:val="single"/>
        </w:rPr>
        <w:t xml:space="preserve">                                     </w:t>
      </w:r>
    </w:p>
    <w:p>
      <w:pPr>
        <w:rPr>
          <w:highlight w:val="none"/>
        </w:rPr>
        <w:sectPr>
          <w:footerReference r:id="rId8" w:type="default"/>
          <w:pgSz w:w="11905" w:h="16839"/>
          <w:pgMar w:top="400" w:right="1785" w:bottom="1156" w:left="1670" w:header="0" w:footer="996" w:gutter="0"/>
          <w:pgNumType w:fmt="decimal"/>
          <w:cols w:space="720" w:num="1"/>
        </w:sectPr>
      </w:pPr>
    </w:p>
    <w:p>
      <w:pPr>
        <w:spacing w:before="94" w:line="238" w:lineRule="auto"/>
        <w:ind w:left="4168"/>
        <w:rPr>
          <w:rFonts w:ascii="宋体" w:hAnsi="宋体" w:cs="宋体"/>
          <w:sz w:val="29"/>
          <w:szCs w:val="29"/>
          <w:highlight w:val="none"/>
        </w:rPr>
      </w:pPr>
      <w:r>
        <w:rPr>
          <w:rFonts w:eastAsia="Times New Roman"/>
          <w:b/>
          <w:bCs/>
          <w:spacing w:val="-9"/>
          <w:sz w:val="29"/>
          <w:szCs w:val="29"/>
          <w:highlight w:val="none"/>
        </w:rPr>
        <w:t>1</w:t>
      </w:r>
      <w:r>
        <w:rPr>
          <w:rFonts w:eastAsia="Times New Roman"/>
          <w:spacing w:val="-7"/>
          <w:sz w:val="29"/>
          <w:szCs w:val="29"/>
          <w:highlight w:val="none"/>
        </w:rPr>
        <w:t xml:space="preserve"> </w:t>
      </w:r>
      <w:r>
        <w:rPr>
          <w:rFonts w:ascii="宋体" w:hAnsi="宋体" w:cs="宋体"/>
          <w:spacing w:val="-7"/>
          <w:sz w:val="29"/>
          <w:szCs w:val="29"/>
          <w:highlight w:val="none"/>
        </w:rPr>
        <w:t>、投标书</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致：</w:t>
      </w:r>
      <w:r>
        <w:rPr>
          <w:rFonts w:hint="eastAsia"/>
          <w:b w:val="0"/>
          <w:color w:val="auto"/>
          <w:sz w:val="24"/>
          <w:szCs w:val="24"/>
          <w:highlight w:val="none"/>
          <w:lang w:eastAsia="zh-CN"/>
        </w:rPr>
        <w:t>南昌红投置业有限公司</w:t>
      </w:r>
      <w:r>
        <w:rPr>
          <w:rFonts w:hint="eastAsia"/>
          <w:b w:val="0"/>
          <w:color w:val="auto"/>
          <w:sz w:val="24"/>
          <w:szCs w:val="24"/>
          <w:highlight w:val="none"/>
        </w:rPr>
        <w:t xml:space="preserve"> </w:t>
      </w:r>
    </w:p>
    <w:p>
      <w:pPr>
        <w:spacing w:line="312" w:lineRule="auto"/>
        <w:rPr>
          <w:rFonts w:ascii="Arial"/>
          <w:highlight w:val="none"/>
        </w:rPr>
      </w:pP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根据贵方“</w:t>
      </w:r>
      <w:r>
        <w:rPr>
          <w:rFonts w:hint="eastAsia"/>
          <w:b w:val="0"/>
          <w:color w:val="auto"/>
          <w:sz w:val="24"/>
          <w:szCs w:val="24"/>
          <w:highlight w:val="none"/>
          <w:u w:val="single"/>
        </w:rPr>
        <w:t xml:space="preserve">             </w:t>
      </w:r>
      <w:r>
        <w:rPr>
          <w:rFonts w:hint="eastAsia"/>
          <w:b w:val="0"/>
          <w:color w:val="auto"/>
          <w:sz w:val="24"/>
          <w:szCs w:val="24"/>
          <w:highlight w:val="none"/>
          <w:lang w:eastAsia="zh-CN"/>
        </w:rPr>
        <w:t>比选</w:t>
      </w:r>
      <w:r>
        <w:rPr>
          <w:rFonts w:hint="eastAsia"/>
          <w:b w:val="0"/>
          <w:color w:val="auto"/>
          <w:sz w:val="24"/>
          <w:szCs w:val="24"/>
          <w:highlight w:val="none"/>
        </w:rPr>
        <w:t>项目”</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项目编号</w:t>
      </w:r>
      <w:r>
        <w:rPr>
          <w:rFonts w:hint="eastAsia"/>
          <w:b w:val="0"/>
          <w:color w:val="auto"/>
          <w:sz w:val="24"/>
          <w:szCs w:val="24"/>
          <w:highlight w:val="none"/>
        </w:rPr>
        <w:t>）投标邀请或</w:t>
      </w:r>
      <w:r>
        <w:rPr>
          <w:rFonts w:hint="eastAsia"/>
          <w:b w:val="0"/>
          <w:color w:val="auto"/>
          <w:sz w:val="24"/>
          <w:szCs w:val="24"/>
          <w:highlight w:val="none"/>
          <w:lang w:val="en-US" w:eastAsia="zh-CN"/>
        </w:rPr>
        <w:t>比选</w:t>
      </w:r>
      <w:r>
        <w:rPr>
          <w:rFonts w:hint="eastAsia"/>
          <w:b w:val="0"/>
          <w:color w:val="auto"/>
          <w:sz w:val="24"/>
          <w:szCs w:val="24"/>
          <w:highlight w:val="none"/>
        </w:rPr>
        <w:t>公告，正式授权下述签字人</w:t>
      </w:r>
      <w:r>
        <w:rPr>
          <w:rFonts w:hint="eastAsia"/>
          <w:b w:val="0"/>
          <w:color w:val="auto"/>
          <w:sz w:val="24"/>
          <w:szCs w:val="24"/>
          <w:highlight w:val="none"/>
          <w:u w:val="single"/>
        </w:rPr>
        <w:t xml:space="preserve">        </w:t>
      </w:r>
      <w:r>
        <w:rPr>
          <w:rFonts w:hint="eastAsia"/>
          <w:b w:val="0"/>
          <w:color w:val="auto"/>
          <w:sz w:val="24"/>
          <w:szCs w:val="24"/>
          <w:highlight w:val="none"/>
        </w:rPr>
        <w:t>（姓名）代表</w:t>
      </w:r>
      <w:r>
        <w:rPr>
          <w:rFonts w:hint="eastAsia"/>
          <w:b w:val="0"/>
          <w:color w:val="auto"/>
          <w:sz w:val="24"/>
          <w:szCs w:val="24"/>
          <w:highlight w:val="none"/>
          <w:lang w:eastAsia="zh-CN"/>
        </w:rPr>
        <w:t>参选人</w:t>
      </w:r>
      <w:r>
        <w:rPr>
          <w:rFonts w:hint="eastAsia"/>
          <w:b w:val="0"/>
          <w:color w:val="auto"/>
          <w:sz w:val="24"/>
          <w:szCs w:val="24"/>
          <w:highlight w:val="none"/>
        </w:rPr>
        <w:t xml:space="preserve"> </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参选人</w:t>
      </w:r>
      <w:r>
        <w:rPr>
          <w:rFonts w:hint="eastAsia"/>
          <w:b w:val="0"/>
          <w:color w:val="auto"/>
          <w:sz w:val="24"/>
          <w:szCs w:val="24"/>
          <w:highlight w:val="none"/>
        </w:rPr>
        <w:t>全称），提交</w:t>
      </w:r>
      <w:r>
        <w:rPr>
          <w:rFonts w:hint="eastAsia"/>
          <w:b w:val="0"/>
          <w:color w:val="auto"/>
          <w:sz w:val="24"/>
          <w:szCs w:val="24"/>
          <w:highlight w:val="none"/>
          <w:lang w:eastAsia="zh-CN"/>
        </w:rPr>
        <w:t>参选文件</w:t>
      </w:r>
      <w:r>
        <w:rPr>
          <w:rFonts w:hint="eastAsia"/>
          <w:b w:val="0"/>
          <w:color w:val="auto"/>
          <w:sz w:val="24"/>
          <w:szCs w:val="24"/>
          <w:highlight w:val="none"/>
        </w:rPr>
        <w:t xml:space="preserve">。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据此函，签字人兹宣布同意如下：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（1）按</w:t>
      </w:r>
      <w:r>
        <w:rPr>
          <w:rFonts w:hint="eastAsia"/>
          <w:b w:val="0"/>
          <w:color w:val="auto"/>
          <w:sz w:val="24"/>
          <w:szCs w:val="24"/>
          <w:highlight w:val="none"/>
          <w:lang w:eastAsia="zh-CN"/>
        </w:rPr>
        <w:t>比选文件</w:t>
      </w:r>
      <w:r>
        <w:rPr>
          <w:rFonts w:hint="eastAsia"/>
          <w:b w:val="0"/>
          <w:color w:val="auto"/>
          <w:sz w:val="24"/>
          <w:szCs w:val="24"/>
          <w:highlight w:val="none"/>
        </w:rPr>
        <w:t>规定项目</w:t>
      </w:r>
      <w:r>
        <w:rPr>
          <w:rFonts w:hint="eastAsia"/>
          <w:b w:val="0"/>
          <w:color w:val="auto"/>
          <w:sz w:val="24"/>
          <w:szCs w:val="24"/>
          <w:highlight w:val="none"/>
          <w:lang w:eastAsia="zh-CN"/>
        </w:rPr>
        <w:t>参选</w:t>
      </w:r>
      <w:r>
        <w:rPr>
          <w:rFonts w:hint="eastAsia"/>
          <w:b w:val="0"/>
          <w:color w:val="auto"/>
          <w:sz w:val="24"/>
          <w:szCs w:val="24"/>
          <w:highlight w:val="none"/>
        </w:rPr>
        <w:t>总价为（大写）</w:t>
      </w:r>
      <w:r>
        <w:rPr>
          <w:rFonts w:hint="eastAsia"/>
          <w:b w:val="0"/>
          <w:color w:val="auto"/>
          <w:sz w:val="24"/>
          <w:szCs w:val="24"/>
          <w:highlight w:val="none"/>
          <w:u w:val="single"/>
        </w:rPr>
        <w:t xml:space="preserve">          </w:t>
      </w:r>
      <w:r>
        <w:rPr>
          <w:rFonts w:hint="eastAsia"/>
          <w:b w:val="0"/>
          <w:color w:val="auto"/>
          <w:sz w:val="24"/>
          <w:szCs w:val="24"/>
          <w:highlight w:val="none"/>
        </w:rPr>
        <w:t xml:space="preserve">元人民币。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（2）我们已详细审核全部</w:t>
      </w:r>
      <w:r>
        <w:rPr>
          <w:rFonts w:hint="eastAsia"/>
          <w:b w:val="0"/>
          <w:color w:val="auto"/>
          <w:sz w:val="24"/>
          <w:szCs w:val="24"/>
          <w:highlight w:val="none"/>
          <w:lang w:eastAsia="zh-CN"/>
        </w:rPr>
        <w:t>比选文件</w:t>
      </w:r>
      <w:r>
        <w:rPr>
          <w:rFonts w:hint="eastAsia"/>
          <w:b w:val="0"/>
          <w:color w:val="auto"/>
          <w:sz w:val="24"/>
          <w:szCs w:val="24"/>
          <w:highlight w:val="none"/>
        </w:rPr>
        <w:t>，包括</w:t>
      </w:r>
      <w:r>
        <w:rPr>
          <w:rFonts w:hint="eastAsia"/>
          <w:b w:val="0"/>
          <w:color w:val="auto"/>
          <w:sz w:val="24"/>
          <w:szCs w:val="24"/>
          <w:highlight w:val="none"/>
          <w:lang w:eastAsia="zh-CN"/>
        </w:rPr>
        <w:t>比选文件</w:t>
      </w:r>
      <w:r>
        <w:rPr>
          <w:rFonts w:hint="eastAsia"/>
          <w:b w:val="0"/>
          <w:color w:val="auto"/>
          <w:sz w:val="24"/>
          <w:szCs w:val="24"/>
          <w:highlight w:val="none"/>
        </w:rPr>
        <w:t xml:space="preserve">修改书（如果有的话），参考资料及有关附件，我们知道必须放弃提出含糊不清或误解的问题的权利。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（3）我们同意从</w:t>
      </w:r>
      <w:r>
        <w:rPr>
          <w:rFonts w:hint="eastAsia"/>
          <w:b w:val="0"/>
          <w:color w:val="auto"/>
          <w:sz w:val="24"/>
          <w:szCs w:val="24"/>
          <w:highlight w:val="none"/>
          <w:lang w:eastAsia="zh-CN"/>
        </w:rPr>
        <w:t>参选人</w:t>
      </w:r>
      <w:r>
        <w:rPr>
          <w:rFonts w:hint="eastAsia"/>
          <w:b w:val="0"/>
          <w:color w:val="auto"/>
          <w:sz w:val="24"/>
          <w:szCs w:val="24"/>
          <w:highlight w:val="none"/>
        </w:rPr>
        <w:t>须知规定的开标日期起遵循本</w:t>
      </w:r>
      <w:r>
        <w:rPr>
          <w:rFonts w:hint="eastAsia"/>
          <w:b w:val="0"/>
          <w:color w:val="auto"/>
          <w:sz w:val="24"/>
          <w:szCs w:val="24"/>
          <w:highlight w:val="none"/>
          <w:lang w:eastAsia="zh-CN"/>
        </w:rPr>
        <w:t>参选文件</w:t>
      </w:r>
      <w:r>
        <w:rPr>
          <w:rFonts w:hint="eastAsia"/>
          <w:b w:val="0"/>
          <w:color w:val="auto"/>
          <w:sz w:val="24"/>
          <w:szCs w:val="24"/>
          <w:highlight w:val="none"/>
        </w:rPr>
        <w:t>，并在</w:t>
      </w:r>
      <w:r>
        <w:rPr>
          <w:rFonts w:hint="eastAsia"/>
          <w:b w:val="0"/>
          <w:color w:val="auto"/>
          <w:sz w:val="24"/>
          <w:szCs w:val="24"/>
          <w:highlight w:val="none"/>
          <w:lang w:eastAsia="zh-CN"/>
        </w:rPr>
        <w:t>参选人</w:t>
      </w:r>
      <w:r>
        <w:rPr>
          <w:rFonts w:hint="eastAsia"/>
          <w:b w:val="0"/>
          <w:color w:val="auto"/>
          <w:sz w:val="24"/>
          <w:szCs w:val="24"/>
          <w:highlight w:val="none"/>
        </w:rPr>
        <w:t xml:space="preserve">须知规定的投标有效期之前均具有约束力。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（4）如果在开标后规定的投标有效期内撤回投标，我们的投标保证金可不被退还。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（5）同意向贵方提供贵方可能另外要求的与其投标有关的任何证据或资料。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（6）我们完全理解贵方不一定接受最低报价的投标。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（7）我们根据</w:t>
      </w:r>
      <w:r>
        <w:rPr>
          <w:rFonts w:hint="eastAsia"/>
          <w:b w:val="0"/>
          <w:color w:val="auto"/>
          <w:sz w:val="24"/>
          <w:szCs w:val="24"/>
          <w:highlight w:val="none"/>
          <w:lang w:eastAsia="zh-CN"/>
        </w:rPr>
        <w:t>比选文件</w:t>
      </w:r>
      <w:r>
        <w:rPr>
          <w:rFonts w:hint="eastAsia"/>
          <w:b w:val="0"/>
          <w:color w:val="auto"/>
          <w:sz w:val="24"/>
          <w:szCs w:val="24"/>
          <w:highlight w:val="none"/>
        </w:rPr>
        <w:t>的规定，严格履行合同的责任和义务,并保证于</w:t>
      </w:r>
      <w:r>
        <w:rPr>
          <w:rFonts w:hint="eastAsia"/>
          <w:b w:val="0"/>
          <w:color w:val="auto"/>
          <w:sz w:val="24"/>
          <w:szCs w:val="24"/>
          <w:highlight w:val="none"/>
          <w:lang w:eastAsia="zh-CN"/>
        </w:rPr>
        <w:t>比选人</w:t>
      </w:r>
      <w:r>
        <w:rPr>
          <w:rFonts w:hint="eastAsia"/>
          <w:b w:val="0"/>
          <w:color w:val="auto"/>
          <w:sz w:val="24"/>
          <w:szCs w:val="24"/>
          <w:highlight w:val="none"/>
        </w:rPr>
        <w:t xml:space="preserve">要求的日期内完成，并交付比选人最终成果文件。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（8）与本投标有关的信息请寄：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参选人</w:t>
      </w:r>
      <w:r>
        <w:rPr>
          <w:rFonts w:hint="eastAsia"/>
          <w:b w:val="0"/>
          <w:color w:val="auto"/>
          <w:sz w:val="24"/>
          <w:szCs w:val="24"/>
          <w:highlight w:val="none"/>
        </w:rPr>
        <w:t>名称：</w:t>
      </w:r>
      <w:r>
        <w:rPr>
          <w:rFonts w:hint="eastAsia"/>
          <w:b w:val="0"/>
          <w:color w:val="auto"/>
          <w:sz w:val="24"/>
          <w:szCs w:val="24"/>
          <w:highlight w:val="none"/>
          <w:u w:val="single"/>
        </w:rPr>
        <w:t xml:space="preserve">         （公章）</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通讯地址：</w:t>
      </w:r>
      <w:r>
        <w:rPr>
          <w:rFonts w:hint="eastAsia"/>
          <w:b w:val="0"/>
          <w:color w:val="auto"/>
          <w:sz w:val="24"/>
          <w:szCs w:val="24"/>
          <w:highlight w:val="none"/>
          <w:u w:val="single"/>
        </w:rPr>
        <w:t xml:space="preserve">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电 话：</w:t>
      </w:r>
      <w:r>
        <w:rPr>
          <w:rFonts w:hint="eastAsia"/>
          <w:b w:val="0"/>
          <w:color w:val="auto"/>
          <w:sz w:val="24"/>
          <w:szCs w:val="24"/>
          <w:highlight w:val="none"/>
          <w:u w:val="single"/>
        </w:rPr>
        <w:t xml:space="preserve">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传 真：</w:t>
      </w:r>
      <w:r>
        <w:rPr>
          <w:rFonts w:hint="eastAsia"/>
          <w:b w:val="0"/>
          <w:color w:val="auto"/>
          <w:sz w:val="24"/>
          <w:szCs w:val="24"/>
          <w:highlight w:val="none"/>
          <w:u w:val="single"/>
        </w:rPr>
        <w:t xml:space="preserve">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委托代理人</w:t>
      </w:r>
      <w:r>
        <w:rPr>
          <w:rFonts w:hint="eastAsia"/>
          <w:b w:val="0"/>
          <w:color w:val="auto"/>
          <w:sz w:val="24"/>
          <w:szCs w:val="24"/>
          <w:highlight w:val="none"/>
        </w:rPr>
        <w:t>（签字）：</w:t>
      </w:r>
      <w:r>
        <w:rPr>
          <w:rFonts w:hint="eastAsia"/>
          <w:b w:val="0"/>
          <w:color w:val="auto"/>
          <w:sz w:val="24"/>
          <w:szCs w:val="24"/>
          <w:highlight w:val="none"/>
          <w:u w:val="single"/>
        </w:rPr>
        <w:t xml:space="preserve">            </w:t>
      </w:r>
    </w:p>
    <w:p>
      <w:pPr>
        <w:pStyle w:val="61"/>
        <w:spacing w:line="440" w:lineRule="exact"/>
        <w:ind w:firstLine="480"/>
        <w:jc w:val="both"/>
        <w:rPr>
          <w:rFonts w:hint="eastAsia"/>
          <w:color w:val="auto"/>
          <w:sz w:val="32"/>
          <w:szCs w:val="32"/>
          <w:highlight w:val="none"/>
        </w:rPr>
        <w:sectPr>
          <w:headerReference r:id="rId9" w:type="default"/>
          <w:footerReference r:id="rId10" w:type="default"/>
          <w:pgSz w:w="11905" w:h="16838"/>
          <w:pgMar w:top="1440" w:right="1417" w:bottom="1118" w:left="1417" w:header="850" w:footer="992" w:gutter="0"/>
          <w:pgNumType w:fmt="decimal"/>
          <w:cols w:space="720" w:num="1"/>
          <w:titlePg/>
          <w:docGrid w:type="lines" w:linePitch="312" w:charSpace="0"/>
        </w:sectPr>
      </w:pPr>
      <w:r>
        <w:rPr>
          <w:rFonts w:hint="eastAsia"/>
          <w:b w:val="0"/>
          <w:color w:val="auto"/>
          <w:sz w:val="24"/>
          <w:szCs w:val="24"/>
          <w:highlight w:val="none"/>
        </w:rPr>
        <w:t>日 期：</w:t>
      </w:r>
      <w:r>
        <w:rPr>
          <w:rFonts w:hint="eastAsia"/>
          <w:b w:val="0"/>
          <w:color w:val="auto"/>
          <w:sz w:val="24"/>
          <w:szCs w:val="24"/>
          <w:highlight w:val="none"/>
          <w:u w:val="single"/>
        </w:rPr>
        <w:t xml:space="preserve">                     </w:t>
      </w:r>
    </w:p>
    <w:p>
      <w:pPr>
        <w:spacing w:line="273" w:lineRule="auto"/>
        <w:rPr>
          <w:rFonts w:ascii="Arial"/>
          <w:highlight w:val="none"/>
        </w:rPr>
      </w:pPr>
    </w:p>
    <w:p>
      <w:pPr>
        <w:spacing w:line="273" w:lineRule="auto"/>
        <w:rPr>
          <w:rFonts w:ascii="Arial"/>
          <w:highlight w:val="none"/>
        </w:rPr>
      </w:pPr>
    </w:p>
    <w:p>
      <w:pPr>
        <w:tabs>
          <w:tab w:val="left" w:pos="783"/>
        </w:tabs>
        <w:spacing w:line="274" w:lineRule="auto"/>
        <w:rPr>
          <w:rFonts w:hint="eastAsia" w:ascii="Arial"/>
          <w:highlight w:val="none"/>
        </w:rPr>
      </w:pPr>
      <w:r>
        <w:rPr>
          <w:rFonts w:hint="eastAsia" w:ascii="Arial"/>
          <w:highlight w:val="none"/>
        </w:rPr>
        <w:tab/>
      </w:r>
    </w:p>
    <w:p>
      <w:pPr>
        <w:spacing w:before="95" w:line="238" w:lineRule="auto"/>
        <w:ind w:left="3369"/>
        <w:rPr>
          <w:rFonts w:ascii="宋体" w:hAnsi="宋体" w:cs="宋体"/>
          <w:sz w:val="29"/>
          <w:szCs w:val="29"/>
          <w:highlight w:val="none"/>
        </w:rPr>
      </w:pPr>
      <w:r>
        <w:rPr>
          <w:rFonts w:eastAsia="Times New Roman"/>
          <w:b/>
          <w:bCs/>
          <w:spacing w:val="6"/>
          <w:sz w:val="29"/>
          <w:szCs w:val="29"/>
          <w:highlight w:val="none"/>
        </w:rPr>
        <w:t>2</w:t>
      </w:r>
      <w:r>
        <w:rPr>
          <w:rFonts w:eastAsia="Times New Roman"/>
          <w:spacing w:val="6"/>
          <w:sz w:val="29"/>
          <w:szCs w:val="29"/>
          <w:highlight w:val="none"/>
        </w:rPr>
        <w:t xml:space="preserve"> </w:t>
      </w:r>
      <w:r>
        <w:rPr>
          <w:rFonts w:ascii="宋体" w:hAnsi="宋体" w:cs="宋体"/>
          <w:spacing w:val="6"/>
          <w:sz w:val="29"/>
          <w:szCs w:val="29"/>
          <w:highlight w:val="none"/>
        </w:rPr>
        <w:t>、</w:t>
      </w:r>
      <w:r>
        <w:rPr>
          <w:rFonts w:ascii="宋体" w:hAnsi="宋体" w:cs="宋体"/>
          <w:spacing w:val="3"/>
          <w:sz w:val="29"/>
          <w:szCs w:val="29"/>
          <w:highlight w:val="none"/>
        </w:rPr>
        <w:t>法定代表人资格证明书</w:t>
      </w: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1" w:lineRule="auto"/>
        <w:rPr>
          <w:rFonts w:ascii="Arial"/>
          <w:highlight w:val="none"/>
        </w:rPr>
      </w:pPr>
    </w:p>
    <w:p>
      <w:pPr>
        <w:spacing w:before="75" w:line="475" w:lineRule="exact"/>
        <w:ind w:left="1"/>
        <w:rPr>
          <w:rFonts w:ascii="宋体" w:hAnsi="宋体" w:cs="宋体"/>
          <w:sz w:val="23"/>
          <w:szCs w:val="23"/>
          <w:highlight w:val="none"/>
        </w:rPr>
      </w:pPr>
      <w:r>
        <w:rPr>
          <w:rFonts w:ascii="宋体" w:hAnsi="宋体" w:cs="宋体"/>
          <w:spacing w:val="8"/>
          <w:position w:val="18"/>
          <w:sz w:val="23"/>
          <w:szCs w:val="23"/>
          <w:highlight w:val="none"/>
        </w:rPr>
        <w:t>单</w:t>
      </w:r>
      <w:r>
        <w:rPr>
          <w:rFonts w:ascii="宋体" w:hAnsi="宋体" w:cs="宋体"/>
          <w:spacing w:val="5"/>
          <w:position w:val="18"/>
          <w:sz w:val="23"/>
          <w:szCs w:val="23"/>
          <w:highlight w:val="none"/>
        </w:rPr>
        <w:t>位名称：</w:t>
      </w:r>
    </w:p>
    <w:p>
      <w:pPr>
        <w:spacing w:line="236" w:lineRule="auto"/>
        <w:rPr>
          <w:rFonts w:ascii="宋体" w:hAnsi="宋体" w:cs="宋体"/>
          <w:sz w:val="23"/>
          <w:szCs w:val="23"/>
          <w:highlight w:val="none"/>
        </w:rPr>
      </w:pPr>
      <w:r>
        <w:rPr>
          <w:rFonts w:ascii="宋体" w:hAnsi="宋体" w:cs="宋体"/>
          <w:spacing w:val="4"/>
          <w:sz w:val="23"/>
          <w:szCs w:val="23"/>
          <w:highlight w:val="none"/>
        </w:rPr>
        <w:t>地</w:t>
      </w:r>
      <w:r>
        <w:rPr>
          <w:rFonts w:ascii="宋体" w:hAnsi="宋体" w:cs="宋体"/>
          <w:spacing w:val="3"/>
          <w:sz w:val="23"/>
          <w:szCs w:val="23"/>
          <w:highlight w:val="none"/>
        </w:rPr>
        <w:t>址：</w:t>
      </w:r>
    </w:p>
    <w:p>
      <w:pPr>
        <w:spacing w:before="183" w:line="383" w:lineRule="auto"/>
        <w:ind w:left="3" w:hanging="3"/>
        <w:rPr>
          <w:rFonts w:ascii="宋体" w:hAnsi="宋体" w:cs="宋体"/>
          <w:sz w:val="23"/>
          <w:szCs w:val="23"/>
          <w:highlight w:val="none"/>
        </w:rPr>
      </w:pPr>
      <w:r>
        <w:rPr>
          <w:rFonts w:ascii="宋体" w:hAnsi="宋体" w:cs="宋体"/>
          <w:spacing w:val="-1"/>
          <w:sz w:val="23"/>
          <w:szCs w:val="23"/>
          <w:highlight w:val="none"/>
        </w:rPr>
        <w:t>姓名：</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性别：</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年龄：</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职务：</w:t>
      </w:r>
      <w:r>
        <w:rPr>
          <w:rFonts w:ascii="宋体" w:hAnsi="宋体" w:cs="宋体"/>
          <w:spacing w:val="-1"/>
          <w:sz w:val="23"/>
          <w:szCs w:val="23"/>
          <w:highlight w:val="none"/>
          <w:u w:val="single"/>
        </w:rPr>
        <w:t xml:space="preserve">  </w:t>
      </w:r>
      <w:r>
        <w:rPr>
          <w:rFonts w:hint="eastAsia" w:ascii="宋体" w:hAnsi="宋体" w:cs="宋体"/>
          <w:spacing w:val="-1"/>
          <w:sz w:val="23"/>
          <w:szCs w:val="23"/>
          <w:highlight w:val="none"/>
          <w:u w:val="single"/>
          <w:lang w:val="en-US" w:eastAsia="zh-CN"/>
        </w:rPr>
        <w:t xml:space="preserve">    </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系</w:t>
      </w:r>
      <w:r>
        <w:rPr>
          <w:rFonts w:ascii="宋体" w:hAnsi="宋体" w:cs="宋体"/>
          <w:spacing w:val="-1"/>
          <w:sz w:val="23"/>
          <w:szCs w:val="23"/>
          <w:highlight w:val="none"/>
          <w:u w:val="single"/>
        </w:rPr>
        <w:t xml:space="preserve">     </w:t>
      </w:r>
      <w:r>
        <w:rPr>
          <w:rFonts w:ascii="宋体" w:hAnsi="宋体" w:cs="宋体"/>
          <w:sz w:val="23"/>
          <w:szCs w:val="23"/>
          <w:highlight w:val="none"/>
          <w:u w:val="single"/>
        </w:rPr>
        <w:t xml:space="preserve">              </w:t>
      </w:r>
      <w:r>
        <w:rPr>
          <w:rFonts w:ascii="宋体" w:hAnsi="宋体" w:cs="宋体"/>
          <w:sz w:val="23"/>
          <w:szCs w:val="23"/>
          <w:highlight w:val="none"/>
        </w:rPr>
        <w:t>的法定代表人。为</w:t>
      </w:r>
      <w:r>
        <w:rPr>
          <w:rFonts w:hint="eastAsia" w:ascii="宋体" w:hAnsi="宋体" w:cs="宋体"/>
          <w:sz w:val="23"/>
          <w:szCs w:val="23"/>
          <w:highlight w:val="none"/>
          <w:lang w:eastAsia="zh-CN"/>
        </w:rPr>
        <w:t>处理</w:t>
      </w:r>
      <w:r>
        <w:rPr>
          <w:rFonts w:hint="eastAsia" w:ascii="宋体" w:hAnsi="宋体" w:cs="宋体"/>
          <w:sz w:val="23"/>
          <w:szCs w:val="23"/>
          <w:highlight w:val="none"/>
          <w:u w:val="single"/>
          <w:lang w:eastAsia="zh-CN"/>
        </w:rPr>
        <w:t>（</w:t>
      </w:r>
      <w:r>
        <w:rPr>
          <w:rFonts w:ascii="宋体" w:hAnsi="宋体" w:cs="宋体"/>
          <w:spacing w:val="9"/>
          <w:sz w:val="23"/>
          <w:szCs w:val="23"/>
          <w:highlight w:val="none"/>
          <w:u w:val="single"/>
        </w:rPr>
        <w:t>项</w:t>
      </w:r>
      <w:r>
        <w:rPr>
          <w:rFonts w:ascii="宋体" w:hAnsi="宋体" w:cs="宋体"/>
          <w:spacing w:val="7"/>
          <w:sz w:val="23"/>
          <w:szCs w:val="23"/>
          <w:highlight w:val="none"/>
          <w:u w:val="single"/>
        </w:rPr>
        <w:t>目</w:t>
      </w:r>
      <w:r>
        <w:rPr>
          <w:rFonts w:hint="eastAsia" w:ascii="宋体" w:hAnsi="宋体" w:cs="宋体"/>
          <w:spacing w:val="7"/>
          <w:sz w:val="23"/>
          <w:szCs w:val="23"/>
          <w:highlight w:val="none"/>
          <w:u w:val="single"/>
          <w:lang w:eastAsia="zh-CN"/>
        </w:rPr>
        <w:t>名称</w:t>
      </w:r>
      <w:r>
        <w:rPr>
          <w:rFonts w:hint="eastAsia" w:ascii="宋体" w:hAnsi="宋体" w:cs="宋体"/>
          <w:sz w:val="23"/>
          <w:szCs w:val="23"/>
          <w:highlight w:val="none"/>
          <w:u w:val="single"/>
          <w:lang w:eastAsia="zh-CN"/>
        </w:rPr>
        <w:t>）</w:t>
      </w:r>
      <w:r>
        <w:rPr>
          <w:rFonts w:ascii="宋体" w:hAnsi="宋体" w:cs="宋体"/>
          <w:spacing w:val="7"/>
          <w:sz w:val="23"/>
          <w:szCs w:val="23"/>
          <w:highlight w:val="none"/>
        </w:rPr>
        <w:t>的一切相关事务，签署上述</w:t>
      </w:r>
      <w:r>
        <w:rPr>
          <w:rFonts w:hint="eastAsia" w:ascii="宋体" w:hAnsi="宋体" w:cs="宋体"/>
          <w:spacing w:val="7"/>
          <w:sz w:val="23"/>
          <w:szCs w:val="23"/>
          <w:highlight w:val="none"/>
          <w:lang w:eastAsia="zh-CN"/>
        </w:rPr>
        <w:t>服务</w:t>
      </w:r>
      <w:r>
        <w:rPr>
          <w:rFonts w:ascii="宋体" w:hAnsi="宋体" w:cs="宋体"/>
          <w:spacing w:val="7"/>
          <w:sz w:val="23"/>
          <w:szCs w:val="23"/>
          <w:highlight w:val="none"/>
        </w:rPr>
        <w:t>工程的参选文件，进行合同谈判、签署合同和处理与之有</w:t>
      </w:r>
      <w:r>
        <w:rPr>
          <w:rFonts w:ascii="宋体" w:hAnsi="宋体" w:eastAsia="宋体" w:cs="宋体"/>
          <w:spacing w:val="7"/>
          <w:sz w:val="23"/>
          <w:szCs w:val="23"/>
          <w:highlight w:val="none"/>
        </w:rPr>
        <w:t>关的一切事务。</w:t>
      </w:r>
    </w:p>
    <w:p>
      <w:pPr>
        <w:spacing w:line="227" w:lineRule="auto"/>
        <w:rPr>
          <w:rFonts w:ascii="宋体" w:hAnsi="宋体" w:cs="宋体"/>
          <w:sz w:val="23"/>
          <w:szCs w:val="23"/>
          <w:highlight w:val="none"/>
        </w:rPr>
      </w:pPr>
      <w:r>
        <w:rPr>
          <w:rFonts w:ascii="宋体" w:hAnsi="宋体" w:cs="宋体"/>
          <w:spacing w:val="6"/>
          <w:sz w:val="23"/>
          <w:szCs w:val="23"/>
          <w:highlight w:val="none"/>
        </w:rPr>
        <w:t>特此证明。</w:t>
      </w:r>
    </w:p>
    <w:p>
      <w:pPr>
        <w:spacing w:line="302" w:lineRule="auto"/>
        <w:rPr>
          <w:rFonts w:ascii="Arial"/>
          <w:highlight w:val="none"/>
        </w:rPr>
      </w:pPr>
    </w:p>
    <w:p>
      <w:pPr>
        <w:spacing w:line="302" w:lineRule="auto"/>
        <w:rPr>
          <w:rFonts w:ascii="Arial"/>
          <w:highlight w:val="none"/>
        </w:rPr>
      </w:pPr>
    </w:p>
    <w:p>
      <w:pPr>
        <w:spacing w:line="303" w:lineRule="auto"/>
        <w:rPr>
          <w:rFonts w:ascii="Arial"/>
          <w:highlight w:val="none"/>
        </w:rPr>
      </w:pPr>
    </w:p>
    <w:p>
      <w:pPr>
        <w:spacing w:before="76" w:line="227" w:lineRule="auto"/>
        <w:ind w:left="1"/>
        <w:rPr>
          <w:rFonts w:ascii="宋体" w:hAnsi="宋体" w:cs="宋体"/>
          <w:sz w:val="23"/>
          <w:szCs w:val="23"/>
          <w:highlight w:val="none"/>
        </w:rPr>
      </w:pPr>
      <w:r>
        <w:rPr>
          <w:rFonts w:ascii="宋体" w:hAnsi="宋体" w:cs="宋体"/>
          <w:spacing w:val="10"/>
          <w:sz w:val="23"/>
          <w:szCs w:val="23"/>
          <w:highlight w:val="none"/>
        </w:rPr>
        <w:t>参</w:t>
      </w:r>
      <w:r>
        <w:rPr>
          <w:rFonts w:ascii="宋体" w:hAnsi="宋体" w:cs="宋体"/>
          <w:spacing w:val="7"/>
          <w:sz w:val="23"/>
          <w:szCs w:val="23"/>
          <w:highlight w:val="none"/>
        </w:rPr>
        <w:t>选</w:t>
      </w:r>
      <w:r>
        <w:rPr>
          <w:rFonts w:ascii="宋体" w:hAnsi="宋体" w:cs="宋体"/>
          <w:spacing w:val="5"/>
          <w:sz w:val="23"/>
          <w:szCs w:val="23"/>
          <w:highlight w:val="none"/>
        </w:rPr>
        <w:t>人：</w:t>
      </w:r>
      <w:r>
        <w:rPr>
          <w:rFonts w:ascii="宋体" w:hAnsi="宋体" w:cs="宋体"/>
          <w:spacing w:val="5"/>
          <w:sz w:val="23"/>
          <w:szCs w:val="23"/>
          <w:highlight w:val="none"/>
          <w:u w:val="single"/>
        </w:rPr>
        <w:t xml:space="preserve">        (盖公章)</w:t>
      </w:r>
      <w:r>
        <w:rPr>
          <w:rFonts w:ascii="宋体" w:hAnsi="宋体" w:cs="宋体"/>
          <w:sz w:val="23"/>
          <w:szCs w:val="23"/>
          <w:highlight w:val="none"/>
          <w:u w:val="single"/>
        </w:rPr>
        <w:t xml:space="preserve">       </w:t>
      </w:r>
    </w:p>
    <w:p>
      <w:pPr>
        <w:spacing w:line="277" w:lineRule="auto"/>
        <w:rPr>
          <w:rFonts w:ascii="Arial"/>
          <w:highlight w:val="none"/>
        </w:rPr>
      </w:pPr>
    </w:p>
    <w:p>
      <w:pPr>
        <w:spacing w:before="75" w:line="227" w:lineRule="auto"/>
        <w:ind w:left="41"/>
        <w:rPr>
          <w:rFonts w:ascii="宋体" w:hAnsi="宋体" w:cs="宋体"/>
          <w:sz w:val="23"/>
          <w:szCs w:val="23"/>
          <w:highlight w:val="none"/>
        </w:rPr>
      </w:pPr>
      <w:r>
        <w:rPr>
          <w:rFonts w:ascii="宋体" w:hAnsi="宋体" w:cs="宋体"/>
          <w:spacing w:val="-11"/>
          <w:sz w:val="23"/>
          <w:szCs w:val="23"/>
          <w:highlight w:val="none"/>
        </w:rPr>
        <w:t>日  期：</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年</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月</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w:t>
      </w:r>
      <w:r>
        <w:rPr>
          <w:rFonts w:ascii="宋体" w:hAnsi="宋体" w:cs="宋体"/>
          <w:spacing w:val="-8"/>
          <w:sz w:val="23"/>
          <w:szCs w:val="23"/>
          <w:highlight w:val="none"/>
        </w:rPr>
        <w:t>日</w:t>
      </w:r>
    </w:p>
    <w:p>
      <w:pPr>
        <w:rPr>
          <w:highlight w:val="none"/>
        </w:rPr>
        <w:sectPr>
          <w:footerReference r:id="rId11" w:type="default"/>
          <w:pgSz w:w="11906" w:h="16839"/>
          <w:pgMar w:top="400" w:right="849" w:bottom="1125" w:left="858" w:header="0" w:footer="965" w:gutter="0"/>
          <w:pgNumType w:fmt="decimal"/>
          <w:cols w:space="720" w:num="1"/>
        </w:sectPr>
      </w:pPr>
    </w:p>
    <w:p>
      <w:pPr>
        <w:spacing w:before="95" w:line="238" w:lineRule="auto"/>
        <w:ind w:left="3368"/>
        <w:rPr>
          <w:rFonts w:hint="eastAsia" w:ascii="Arial"/>
          <w:highlight w:val="none"/>
        </w:rPr>
      </w:pPr>
    </w:p>
    <w:p>
      <w:pPr>
        <w:spacing w:before="95" w:line="238" w:lineRule="auto"/>
        <w:ind w:left="3368"/>
        <w:rPr>
          <w:rFonts w:hint="eastAsia" w:ascii="Arial"/>
          <w:highlight w:val="none"/>
        </w:rPr>
      </w:pPr>
    </w:p>
    <w:p>
      <w:pPr>
        <w:spacing w:before="95" w:line="238" w:lineRule="auto"/>
        <w:ind w:left="3368"/>
        <w:rPr>
          <w:rFonts w:ascii="宋体" w:hAnsi="宋体" w:cs="宋体"/>
          <w:sz w:val="29"/>
          <w:szCs w:val="29"/>
          <w:highlight w:val="none"/>
        </w:rPr>
      </w:pPr>
      <w:r>
        <w:rPr>
          <w:rFonts w:eastAsia="Times New Roman"/>
          <w:b/>
          <w:bCs/>
          <w:spacing w:val="4"/>
          <w:sz w:val="29"/>
          <w:szCs w:val="29"/>
          <w:highlight w:val="none"/>
        </w:rPr>
        <w:t>3</w:t>
      </w:r>
      <w:r>
        <w:rPr>
          <w:rFonts w:eastAsia="Times New Roman"/>
          <w:spacing w:val="4"/>
          <w:sz w:val="29"/>
          <w:szCs w:val="29"/>
          <w:highlight w:val="none"/>
        </w:rPr>
        <w:t xml:space="preserve"> </w:t>
      </w:r>
      <w:r>
        <w:rPr>
          <w:rFonts w:ascii="宋体" w:hAnsi="宋体" w:cs="宋体"/>
          <w:spacing w:val="4"/>
          <w:sz w:val="29"/>
          <w:szCs w:val="29"/>
          <w:highlight w:val="none"/>
        </w:rPr>
        <w:t>、法定代表人授权委托</w:t>
      </w:r>
      <w:r>
        <w:rPr>
          <w:rFonts w:ascii="宋体" w:hAnsi="宋体" w:cs="宋体"/>
          <w:spacing w:val="2"/>
          <w:sz w:val="29"/>
          <w:szCs w:val="29"/>
          <w:highlight w:val="none"/>
        </w:rPr>
        <w:t>书</w:t>
      </w:r>
    </w:p>
    <w:p>
      <w:pPr>
        <w:spacing w:line="256" w:lineRule="auto"/>
        <w:rPr>
          <w:rFonts w:ascii="Arial"/>
          <w:highlight w:val="none"/>
        </w:rPr>
      </w:pPr>
    </w:p>
    <w:p>
      <w:pPr>
        <w:spacing w:line="257" w:lineRule="auto"/>
        <w:rPr>
          <w:rFonts w:ascii="Arial"/>
          <w:highlight w:val="none"/>
        </w:rPr>
      </w:pPr>
    </w:p>
    <w:p>
      <w:pPr>
        <w:spacing w:line="257" w:lineRule="auto"/>
        <w:rPr>
          <w:rFonts w:ascii="Arial"/>
          <w:highlight w:val="none"/>
        </w:rPr>
      </w:pPr>
    </w:p>
    <w:p>
      <w:pPr>
        <w:spacing w:before="75" w:line="382" w:lineRule="auto"/>
        <w:ind w:left="3" w:firstLine="480"/>
        <w:rPr>
          <w:rFonts w:ascii="宋体" w:hAnsi="宋体" w:cs="宋体"/>
          <w:sz w:val="23"/>
          <w:szCs w:val="23"/>
          <w:highlight w:val="none"/>
        </w:rPr>
      </w:pPr>
      <w:r>
        <w:rPr>
          <w:rFonts w:ascii="宋体" w:hAnsi="宋体" w:cs="宋体"/>
          <w:spacing w:val="10"/>
          <w:sz w:val="23"/>
          <w:szCs w:val="23"/>
          <w:highlight w:val="none"/>
        </w:rPr>
        <w:t>本授权委托书</w:t>
      </w:r>
      <w:r>
        <w:rPr>
          <w:rFonts w:ascii="宋体" w:hAnsi="宋体" w:cs="宋体"/>
          <w:spacing w:val="9"/>
          <w:sz w:val="23"/>
          <w:szCs w:val="23"/>
          <w:highlight w:val="none"/>
        </w:rPr>
        <w:t>声</w:t>
      </w:r>
      <w:r>
        <w:rPr>
          <w:rFonts w:ascii="宋体" w:hAnsi="宋体" w:cs="宋体"/>
          <w:spacing w:val="5"/>
          <w:sz w:val="23"/>
          <w:szCs w:val="23"/>
          <w:highlight w:val="none"/>
        </w:rPr>
        <w:t>明：我</w:t>
      </w:r>
      <w:r>
        <w:rPr>
          <w:rFonts w:ascii="宋体" w:hAnsi="宋体" w:cs="宋体"/>
          <w:spacing w:val="5"/>
          <w:sz w:val="23"/>
          <w:szCs w:val="23"/>
          <w:highlight w:val="none"/>
          <w:u w:val="single"/>
        </w:rPr>
        <w:t xml:space="preserve">       </w:t>
      </w:r>
      <w:r>
        <w:rPr>
          <w:rFonts w:ascii="宋体" w:hAnsi="宋体" w:cs="宋体"/>
          <w:spacing w:val="5"/>
          <w:sz w:val="23"/>
          <w:szCs w:val="23"/>
          <w:highlight w:val="none"/>
        </w:rPr>
        <w:t>(姓名)系</w:t>
      </w:r>
      <w:r>
        <w:rPr>
          <w:rFonts w:ascii="宋体" w:hAnsi="宋体" w:cs="宋体"/>
          <w:spacing w:val="5"/>
          <w:sz w:val="23"/>
          <w:szCs w:val="23"/>
          <w:highlight w:val="none"/>
          <w:u w:val="single"/>
        </w:rPr>
        <w:t xml:space="preserve">     (参选人名称) </w:t>
      </w:r>
      <w:r>
        <w:rPr>
          <w:rFonts w:ascii="宋体" w:hAnsi="宋体" w:cs="宋体"/>
          <w:spacing w:val="5"/>
          <w:sz w:val="23"/>
          <w:szCs w:val="23"/>
          <w:highlight w:val="none"/>
        </w:rPr>
        <w:t xml:space="preserve"> 的法定代表人，现授权委托</w:t>
      </w:r>
      <w:r>
        <w:rPr>
          <w:rFonts w:ascii="宋体" w:hAnsi="宋体" w:cs="宋体"/>
          <w:spacing w:val="5"/>
          <w:sz w:val="23"/>
          <w:szCs w:val="23"/>
          <w:highlight w:val="none"/>
          <w:u w:val="single"/>
        </w:rPr>
        <w:t xml:space="preserve"> (单</w:t>
      </w:r>
      <w:r>
        <w:rPr>
          <w:rFonts w:ascii="宋体" w:hAnsi="宋体" w:cs="宋体"/>
          <w:spacing w:val="12"/>
          <w:sz w:val="23"/>
          <w:szCs w:val="23"/>
          <w:highlight w:val="none"/>
          <w:u w:val="single"/>
        </w:rPr>
        <w:t>位名称</w:t>
      </w:r>
      <w:r>
        <w:rPr>
          <w:rFonts w:ascii="宋体" w:hAnsi="宋体" w:cs="宋体"/>
          <w:spacing w:val="11"/>
          <w:sz w:val="23"/>
          <w:szCs w:val="23"/>
          <w:highlight w:val="none"/>
          <w:u w:val="single"/>
        </w:rPr>
        <w:t>)</w:t>
      </w:r>
      <w:r>
        <w:rPr>
          <w:rFonts w:ascii="宋体" w:hAnsi="宋体" w:cs="宋体"/>
          <w:spacing w:val="6"/>
          <w:sz w:val="23"/>
          <w:szCs w:val="23"/>
          <w:highlight w:val="none"/>
          <w:u w:val="single"/>
        </w:rPr>
        <w:t xml:space="preserve"> </w:t>
      </w:r>
      <w:r>
        <w:rPr>
          <w:rFonts w:ascii="宋体" w:hAnsi="宋体" w:cs="宋体"/>
          <w:spacing w:val="6"/>
          <w:sz w:val="23"/>
          <w:szCs w:val="23"/>
          <w:highlight w:val="none"/>
        </w:rPr>
        <w:t>的</w:t>
      </w:r>
      <w:r>
        <w:rPr>
          <w:rFonts w:ascii="宋体" w:hAnsi="宋体" w:cs="宋体"/>
          <w:spacing w:val="6"/>
          <w:sz w:val="23"/>
          <w:szCs w:val="23"/>
          <w:highlight w:val="none"/>
          <w:u w:val="single"/>
        </w:rPr>
        <w:t xml:space="preserve">   (姓名) </w:t>
      </w:r>
      <w:r>
        <w:rPr>
          <w:rFonts w:ascii="宋体" w:hAnsi="宋体" w:cs="宋体"/>
          <w:spacing w:val="6"/>
          <w:sz w:val="23"/>
          <w:szCs w:val="23"/>
          <w:highlight w:val="none"/>
        </w:rPr>
        <w:t>为我公司签署本工程已递交的参选文件的法定代表人的授权委托代理人。代</w:t>
      </w:r>
      <w:r>
        <w:rPr>
          <w:rFonts w:ascii="宋体" w:hAnsi="宋体" w:cs="宋体"/>
          <w:spacing w:val="16"/>
          <w:sz w:val="23"/>
          <w:szCs w:val="23"/>
          <w:highlight w:val="none"/>
        </w:rPr>
        <w:t>理人</w:t>
      </w:r>
      <w:r>
        <w:rPr>
          <w:rFonts w:ascii="宋体" w:hAnsi="宋体" w:cs="宋体"/>
          <w:spacing w:val="9"/>
          <w:sz w:val="23"/>
          <w:szCs w:val="23"/>
          <w:highlight w:val="none"/>
        </w:rPr>
        <w:t>全</w:t>
      </w:r>
      <w:r>
        <w:rPr>
          <w:rFonts w:ascii="宋体" w:hAnsi="宋体" w:cs="宋体"/>
          <w:spacing w:val="8"/>
          <w:sz w:val="23"/>
          <w:szCs w:val="23"/>
          <w:highlight w:val="none"/>
        </w:rPr>
        <w:t>权代表我所签署的本服务工程已递交的参选文件内容我均承认。</w:t>
      </w:r>
      <w:r>
        <w:rPr>
          <w:rFonts w:ascii="宋体" w:hAnsi="宋体" w:cs="宋体"/>
          <w:spacing w:val="16"/>
          <w:sz w:val="23"/>
          <w:szCs w:val="23"/>
          <w:highlight w:val="none"/>
        </w:rPr>
        <w:t>代</w:t>
      </w:r>
      <w:r>
        <w:rPr>
          <w:rFonts w:ascii="宋体" w:hAnsi="宋体" w:cs="宋体"/>
          <w:spacing w:val="9"/>
          <w:sz w:val="23"/>
          <w:szCs w:val="23"/>
          <w:highlight w:val="none"/>
        </w:rPr>
        <w:t>理</w:t>
      </w:r>
      <w:r>
        <w:rPr>
          <w:rFonts w:ascii="宋体" w:hAnsi="宋体" w:cs="宋体"/>
          <w:spacing w:val="8"/>
          <w:sz w:val="23"/>
          <w:szCs w:val="23"/>
          <w:highlight w:val="none"/>
        </w:rPr>
        <w:t>人无转委托权，特此委托：</w:t>
      </w:r>
    </w:p>
    <w:p>
      <w:pPr>
        <w:spacing w:before="3" w:line="226" w:lineRule="auto"/>
        <w:rPr>
          <w:rFonts w:ascii="宋体" w:hAnsi="宋体" w:cs="宋体"/>
          <w:sz w:val="23"/>
          <w:szCs w:val="23"/>
          <w:highlight w:val="none"/>
        </w:rPr>
      </w:pPr>
      <w:r>
        <w:rPr>
          <w:rFonts w:ascii="宋体" w:hAnsi="宋体" w:cs="宋体"/>
          <w:spacing w:val="-8"/>
          <w:sz w:val="23"/>
          <w:szCs w:val="23"/>
          <w:highlight w:val="none"/>
        </w:rPr>
        <w:t>代</w:t>
      </w:r>
      <w:r>
        <w:rPr>
          <w:rFonts w:ascii="宋体" w:hAnsi="宋体" w:cs="宋体"/>
          <w:spacing w:val="-5"/>
          <w:sz w:val="23"/>
          <w:szCs w:val="23"/>
          <w:highlight w:val="none"/>
        </w:rPr>
        <w:t>理</w:t>
      </w:r>
      <w:r>
        <w:rPr>
          <w:rFonts w:ascii="宋体" w:hAnsi="宋体" w:cs="宋体"/>
          <w:spacing w:val="-4"/>
          <w:sz w:val="23"/>
          <w:szCs w:val="23"/>
          <w:highlight w:val="none"/>
        </w:rPr>
        <w:t>人：</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性别：</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年龄：</w:t>
      </w:r>
    </w:p>
    <w:p>
      <w:pPr>
        <w:spacing w:before="196" w:line="383" w:lineRule="auto"/>
        <w:ind w:left="7"/>
        <w:rPr>
          <w:rFonts w:ascii="宋体" w:hAnsi="宋体" w:cs="宋体"/>
          <w:sz w:val="23"/>
          <w:szCs w:val="23"/>
          <w:highlight w:val="none"/>
        </w:rPr>
      </w:pPr>
      <w:r>
        <w:rPr>
          <w:rFonts w:ascii="宋体" w:hAnsi="宋体" w:cs="宋体"/>
          <w:spacing w:val="-2"/>
          <w:sz w:val="23"/>
          <w:szCs w:val="23"/>
          <w:highlight w:val="none"/>
        </w:rPr>
        <w:t>身份证号码：</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职</w:t>
      </w:r>
      <w:r>
        <w:rPr>
          <w:rFonts w:ascii="宋体" w:hAnsi="宋体" w:cs="宋体"/>
          <w:spacing w:val="-1"/>
          <w:sz w:val="23"/>
          <w:szCs w:val="23"/>
          <w:highlight w:val="none"/>
        </w:rPr>
        <w:t>务</w:t>
      </w:r>
      <w:r>
        <w:rPr>
          <w:rFonts w:ascii="宋体" w:hAnsi="宋体" w:cs="宋体"/>
          <w:sz w:val="23"/>
          <w:szCs w:val="23"/>
          <w:highlight w:val="none"/>
        </w:rPr>
        <w:t>：</w:t>
      </w:r>
      <w:r>
        <w:rPr>
          <w:rFonts w:ascii="宋体" w:hAnsi="宋体" w:cs="宋体"/>
          <w:sz w:val="23"/>
          <w:szCs w:val="23"/>
          <w:highlight w:val="none"/>
          <w:u w:val="single"/>
        </w:rPr>
        <w:t xml:space="preserve">           </w:t>
      </w:r>
    </w:p>
    <w:p>
      <w:pPr>
        <w:spacing w:line="226" w:lineRule="auto"/>
        <w:ind w:left="2"/>
        <w:rPr>
          <w:rFonts w:ascii="宋体" w:hAnsi="宋体" w:cs="宋体"/>
          <w:sz w:val="23"/>
          <w:szCs w:val="23"/>
          <w:highlight w:val="none"/>
        </w:rPr>
      </w:pPr>
      <w:r>
        <w:rPr>
          <w:rFonts w:ascii="宋体" w:hAnsi="宋体" w:cs="宋体"/>
          <w:spacing w:val="2"/>
          <w:sz w:val="23"/>
          <w:szCs w:val="23"/>
          <w:highlight w:val="none"/>
        </w:rPr>
        <w:t>参选人：</w:t>
      </w:r>
      <w:r>
        <w:rPr>
          <w:rFonts w:ascii="宋体" w:hAnsi="宋体" w:cs="宋体"/>
          <w:spacing w:val="2"/>
          <w:sz w:val="23"/>
          <w:szCs w:val="23"/>
          <w:highlight w:val="none"/>
          <w:u w:val="single"/>
        </w:rPr>
        <w:t xml:space="preserve">  </w:t>
      </w:r>
      <w:r>
        <w:rPr>
          <w:rFonts w:ascii="宋体" w:hAnsi="宋体" w:cs="宋体"/>
          <w:spacing w:val="1"/>
          <w:sz w:val="23"/>
          <w:szCs w:val="23"/>
          <w:highlight w:val="none"/>
          <w:u w:val="single"/>
        </w:rPr>
        <w:t xml:space="preserve">                     (盖章)</w:t>
      </w:r>
      <w:r>
        <w:rPr>
          <w:rFonts w:ascii="宋体" w:hAnsi="宋体" w:cs="宋体"/>
          <w:sz w:val="23"/>
          <w:szCs w:val="23"/>
          <w:highlight w:val="none"/>
          <w:u w:val="single"/>
        </w:rPr>
        <w:t xml:space="preserve">               </w:t>
      </w:r>
    </w:p>
    <w:p>
      <w:pPr>
        <w:spacing w:before="195" w:line="226" w:lineRule="auto"/>
        <w:ind w:left="1"/>
        <w:rPr>
          <w:rFonts w:ascii="宋体" w:hAnsi="宋体" w:cs="宋体"/>
          <w:sz w:val="23"/>
          <w:szCs w:val="23"/>
          <w:highlight w:val="none"/>
        </w:rPr>
      </w:pPr>
      <w:r>
        <w:rPr>
          <w:rFonts w:ascii="宋体" w:hAnsi="宋体" w:cs="宋体"/>
          <w:spacing w:val="-2"/>
          <w:sz w:val="23"/>
          <w:szCs w:val="23"/>
          <w:highlight w:val="none"/>
        </w:rPr>
        <w:t>法定</w:t>
      </w:r>
      <w:r>
        <w:rPr>
          <w:rFonts w:ascii="宋体" w:hAnsi="宋体" w:cs="宋体"/>
          <w:spacing w:val="-1"/>
          <w:sz w:val="23"/>
          <w:szCs w:val="23"/>
          <w:highlight w:val="none"/>
        </w:rPr>
        <w:t xml:space="preserve">代表人：  </w:t>
      </w:r>
      <w:r>
        <w:rPr>
          <w:rFonts w:hint="eastAsia" w:ascii="宋体" w:hAnsi="宋体" w:cs="宋体"/>
          <w:spacing w:val="-1"/>
          <w:sz w:val="23"/>
          <w:szCs w:val="23"/>
          <w:highlight w:val="none"/>
          <w:lang w:val="en-US" w:eastAsia="zh-CN"/>
        </w:rPr>
        <w:t xml:space="preserve">   </w:t>
      </w:r>
      <w:r>
        <w:rPr>
          <w:rFonts w:ascii="宋体" w:hAnsi="宋体" w:cs="宋体"/>
          <w:spacing w:val="-1"/>
          <w:sz w:val="23"/>
          <w:szCs w:val="23"/>
          <w:highlight w:val="none"/>
        </w:rPr>
        <w:t>(签字</w:t>
      </w:r>
      <w:r>
        <w:rPr>
          <w:rFonts w:hint="eastAsia" w:ascii="宋体" w:hAnsi="宋体" w:cs="宋体"/>
          <w:spacing w:val="-1"/>
          <w:sz w:val="23"/>
          <w:szCs w:val="23"/>
          <w:highlight w:val="none"/>
          <w:lang w:eastAsia="zh-CN"/>
        </w:rPr>
        <w:t>或</w:t>
      </w:r>
      <w:r>
        <w:rPr>
          <w:rFonts w:ascii="宋体" w:hAnsi="宋体" w:cs="宋体"/>
          <w:spacing w:val="-1"/>
          <w:sz w:val="23"/>
          <w:szCs w:val="23"/>
          <w:highlight w:val="none"/>
        </w:rPr>
        <w:t>盖章)</w:t>
      </w:r>
    </w:p>
    <w:p>
      <w:pPr>
        <w:spacing w:line="356" w:lineRule="auto"/>
        <w:rPr>
          <w:rFonts w:ascii="Arial"/>
          <w:highlight w:val="none"/>
        </w:rPr>
      </w:pPr>
    </w:p>
    <w:p>
      <w:pPr>
        <w:spacing w:before="76" w:line="224" w:lineRule="auto"/>
        <w:rPr>
          <w:rFonts w:ascii="宋体" w:hAnsi="宋体" w:cs="宋体"/>
          <w:sz w:val="23"/>
          <w:szCs w:val="23"/>
          <w:highlight w:val="none"/>
        </w:rPr>
      </w:pPr>
      <w:r>
        <w:rPr>
          <w:rFonts w:ascii="宋体" w:hAnsi="宋体" w:cs="宋体"/>
          <w:spacing w:val="-8"/>
          <w:sz w:val="23"/>
          <w:szCs w:val="23"/>
          <w:highlight w:val="none"/>
        </w:rPr>
        <w:t>授权委托</w:t>
      </w:r>
      <w:r>
        <w:rPr>
          <w:rFonts w:ascii="宋体" w:hAnsi="宋体" w:cs="宋体"/>
          <w:spacing w:val="-5"/>
          <w:sz w:val="23"/>
          <w:szCs w:val="23"/>
          <w:highlight w:val="none"/>
        </w:rPr>
        <w:t>日</w:t>
      </w:r>
      <w:r>
        <w:rPr>
          <w:rFonts w:ascii="宋体" w:hAnsi="宋体" w:cs="宋体"/>
          <w:spacing w:val="-4"/>
          <w:sz w:val="23"/>
          <w:szCs w:val="23"/>
          <w:highlight w:val="none"/>
        </w:rPr>
        <w:t>期：</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月</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日</w:t>
      </w:r>
    </w:p>
    <w:p>
      <w:pPr>
        <w:spacing w:before="273" w:line="224" w:lineRule="auto"/>
        <w:jc w:val="left"/>
        <w:rPr>
          <w:rFonts w:hint="eastAsia" w:ascii="宋体" w:hAnsi="宋体" w:cs="宋体"/>
          <w:spacing w:val="8"/>
          <w:sz w:val="23"/>
          <w:szCs w:val="23"/>
          <w:highlight w:val="none"/>
        </w:rPr>
      </w:pPr>
    </w:p>
    <w:p>
      <w:pPr>
        <w:rPr>
          <w:rFonts w:hint="eastAsia" w:ascii="宋体" w:hAnsi="宋体" w:cs="宋体"/>
          <w:spacing w:val="8"/>
          <w:sz w:val="23"/>
          <w:szCs w:val="23"/>
          <w:highlight w:val="none"/>
        </w:rPr>
      </w:pPr>
    </w:p>
    <w:p>
      <w:pPr>
        <w:rPr>
          <w:highlight w:val="none"/>
        </w:rPr>
        <w:sectPr>
          <w:footerReference r:id="rId12" w:type="default"/>
          <w:pgSz w:w="11906" w:h="16839"/>
          <w:pgMar w:top="400" w:right="844" w:bottom="1125" w:left="858" w:header="0" w:footer="965" w:gutter="0"/>
          <w:pgNumType w:fmt="decimal"/>
          <w:cols w:space="720" w:num="1"/>
        </w:sectPr>
      </w:pPr>
      <w:r>
        <w:rPr>
          <w:rFonts w:hint="eastAsia" w:ascii="宋体" w:hAnsi="宋体" w:cs="宋体"/>
          <w:spacing w:val="8"/>
          <w:sz w:val="23"/>
          <w:szCs w:val="23"/>
          <w:highlight w:val="none"/>
        </w:rPr>
        <w:t>附法定代表人、委托代理人身份证（正、反面复印件加盖公章）。</w:t>
      </w:r>
    </w:p>
    <w:p>
      <w:pPr>
        <w:rPr>
          <w:highlight w:val="none"/>
        </w:rPr>
      </w:pPr>
    </w:p>
    <w:p>
      <w:pPr>
        <w:rPr>
          <w:highlight w:val="none"/>
        </w:rPr>
      </w:pPr>
    </w:p>
    <w:p>
      <w:pPr>
        <w:rPr>
          <w:highlight w:val="none"/>
        </w:rPr>
      </w:pPr>
    </w:p>
    <w:p>
      <w:pPr>
        <w:rPr>
          <w:highlight w:val="none"/>
        </w:rPr>
      </w:pPr>
    </w:p>
    <w:p>
      <w:pPr>
        <w:spacing w:line="16" w:lineRule="exact"/>
        <w:rPr>
          <w:highlight w:val="none"/>
        </w:rPr>
      </w:pPr>
    </w:p>
    <w:p>
      <w:pPr>
        <w:rPr>
          <w:highlight w:val="none"/>
        </w:rPr>
        <w:sectPr>
          <w:footerReference r:id="rId13" w:type="default"/>
          <w:pgSz w:w="11906" w:h="16839"/>
          <w:pgMar w:top="400" w:right="1785" w:bottom="1125" w:left="737" w:header="0" w:footer="965" w:gutter="0"/>
          <w:pgNumType w:fmt="decimal"/>
          <w:cols w:space="720" w:num="1"/>
        </w:sectPr>
      </w:pPr>
    </w:p>
    <w:p>
      <w:pPr>
        <w:spacing w:line="316" w:lineRule="auto"/>
        <w:rPr>
          <w:rFonts w:ascii="Arial"/>
          <w:highlight w:val="none"/>
        </w:rPr>
      </w:pPr>
    </w:p>
    <w:p>
      <w:pPr>
        <w:spacing w:line="317" w:lineRule="auto"/>
        <w:rPr>
          <w:rFonts w:ascii="Arial"/>
          <w:highlight w:val="none"/>
        </w:rPr>
      </w:pPr>
    </w:p>
    <w:p>
      <w:pPr>
        <w:spacing w:before="75" w:line="192" w:lineRule="auto"/>
        <w:ind w:left="123"/>
        <w:rPr>
          <w:rFonts w:hint="eastAsia" w:ascii="宋体" w:hAnsi="宋体" w:cs="宋体"/>
          <w:b/>
          <w:bCs/>
          <w:spacing w:val="8"/>
          <w:sz w:val="23"/>
          <w:szCs w:val="23"/>
          <w:highlight w:val="none"/>
        </w:rPr>
      </w:pPr>
      <w:r>
        <w:rPr>
          <w:rFonts w:hint="eastAsia" w:ascii="宋体" w:hAnsi="宋体" w:cs="宋体"/>
          <w:b/>
          <w:bCs/>
          <w:spacing w:val="8"/>
          <w:sz w:val="23"/>
          <w:szCs w:val="23"/>
          <w:highlight w:val="none"/>
        </w:rPr>
        <w:t>4.1开标一览表</w:t>
      </w:r>
    </w:p>
    <w:p>
      <w:pPr>
        <w:pStyle w:val="23"/>
        <w:rPr>
          <w:rFonts w:hint="eastAsia"/>
          <w:highlight w:val="none"/>
          <w:lang w:val="en-US" w:eastAsia="zh-CN"/>
        </w:rPr>
      </w:pPr>
    </w:p>
    <w:p>
      <w:pPr>
        <w:spacing w:before="75" w:line="192" w:lineRule="auto"/>
        <w:ind w:left="123"/>
        <w:rPr>
          <w:rFonts w:hint="eastAsia" w:ascii="宋体" w:hAnsi="宋体" w:cs="宋体"/>
          <w:spacing w:val="8"/>
          <w:sz w:val="23"/>
          <w:szCs w:val="23"/>
          <w:highlight w:val="none"/>
        </w:rPr>
      </w:pPr>
    </w:p>
    <w:p>
      <w:pPr>
        <w:spacing w:before="75" w:line="192" w:lineRule="auto"/>
        <w:ind w:left="123"/>
        <w:rPr>
          <w:rFonts w:ascii="宋体" w:hAnsi="宋体" w:cs="宋体"/>
          <w:sz w:val="23"/>
          <w:szCs w:val="23"/>
          <w:highlight w:val="none"/>
        </w:rPr>
      </w:pPr>
      <w:r>
        <w:rPr>
          <w:rFonts w:ascii="宋体" w:hAnsi="宋体" w:cs="宋体"/>
          <w:spacing w:val="8"/>
          <w:sz w:val="23"/>
          <w:szCs w:val="23"/>
          <w:highlight w:val="none"/>
        </w:rPr>
        <w:t>参</w:t>
      </w:r>
      <w:r>
        <w:rPr>
          <w:rFonts w:ascii="宋体" w:hAnsi="宋体" w:cs="宋体"/>
          <w:spacing w:val="6"/>
          <w:sz w:val="23"/>
          <w:szCs w:val="23"/>
          <w:highlight w:val="none"/>
        </w:rPr>
        <w:t>选人名称：</w:t>
      </w:r>
    </w:p>
    <w:p>
      <w:pPr>
        <w:spacing w:line="14" w:lineRule="auto"/>
        <w:rPr>
          <w:rFonts w:ascii="Arial"/>
          <w:sz w:val="2"/>
          <w:highlight w:val="none"/>
        </w:rPr>
      </w:pPr>
      <w:r>
        <w:rPr>
          <w:rFonts w:ascii="Arial" w:hAnsi="Arial" w:eastAsia="Arial" w:cs="Arial"/>
          <w:sz w:val="2"/>
          <w:szCs w:val="2"/>
          <w:highlight w:val="none"/>
        </w:rPr>
        <w:br w:type="column"/>
      </w:r>
    </w:p>
    <w:p>
      <w:pPr>
        <w:spacing w:before="75" w:line="240" w:lineRule="auto"/>
        <w:jc w:val="both"/>
        <w:rPr>
          <w:rFonts w:hint="eastAsia" w:ascii="宋体" w:hAnsi="宋体" w:eastAsia="宋体" w:cs="宋体"/>
          <w:b/>
          <w:bCs/>
          <w:spacing w:val="8"/>
          <w:sz w:val="23"/>
          <w:szCs w:val="23"/>
          <w:highlight w:val="none"/>
        </w:rPr>
      </w:pPr>
      <w:r>
        <w:rPr>
          <w:rFonts w:eastAsia="Times New Roman"/>
          <w:spacing w:val="2"/>
          <w:sz w:val="29"/>
          <w:szCs w:val="29"/>
          <w:highlight w:val="none"/>
        </w:rPr>
        <w:t xml:space="preserve">4 </w:t>
      </w:r>
      <w:r>
        <w:rPr>
          <w:rFonts w:ascii="宋体" w:hAnsi="宋体" w:cs="宋体"/>
          <w:spacing w:val="2"/>
          <w:sz w:val="29"/>
          <w:szCs w:val="29"/>
          <w:highlight w:val="none"/>
        </w:rPr>
        <w:t>、开标一览表</w:t>
      </w:r>
      <w:r>
        <w:rPr>
          <w:rFonts w:hint="eastAsia" w:ascii="宋体" w:hAnsi="宋体" w:cs="宋体"/>
          <w:spacing w:val="2"/>
          <w:sz w:val="29"/>
          <w:szCs w:val="29"/>
          <w:highlight w:val="none"/>
        </w:rPr>
        <w:t>及</w:t>
      </w:r>
      <w:r>
        <w:rPr>
          <w:rFonts w:hint="eastAsia" w:ascii="宋体" w:hAnsi="宋体" w:eastAsia="宋体" w:cs="宋体"/>
          <w:b/>
          <w:bCs/>
          <w:spacing w:val="8"/>
          <w:sz w:val="29"/>
          <w:szCs w:val="29"/>
          <w:highlight w:val="none"/>
          <w:lang w:val="en-US" w:eastAsia="zh-CN"/>
        </w:rPr>
        <w:t>参选</w:t>
      </w:r>
      <w:r>
        <w:rPr>
          <w:rFonts w:hint="eastAsia" w:ascii="宋体" w:hAnsi="宋体" w:eastAsia="宋体" w:cs="宋体"/>
          <w:b/>
          <w:bCs/>
          <w:spacing w:val="8"/>
          <w:sz w:val="29"/>
          <w:szCs w:val="29"/>
          <w:highlight w:val="none"/>
        </w:rPr>
        <w:t>报价</w:t>
      </w:r>
      <w:r>
        <w:rPr>
          <w:rFonts w:hint="eastAsia" w:ascii="宋体" w:hAnsi="宋体" w:eastAsia="宋体" w:cs="宋体"/>
          <w:b/>
          <w:bCs/>
          <w:spacing w:val="8"/>
          <w:sz w:val="29"/>
          <w:szCs w:val="29"/>
          <w:highlight w:val="none"/>
          <w:lang w:val="en-US" w:eastAsia="zh-CN"/>
        </w:rPr>
        <w:t>明细</w:t>
      </w:r>
      <w:r>
        <w:rPr>
          <w:rFonts w:hint="eastAsia" w:ascii="宋体" w:hAnsi="宋体" w:eastAsia="宋体" w:cs="宋体"/>
          <w:b/>
          <w:bCs/>
          <w:spacing w:val="8"/>
          <w:sz w:val="29"/>
          <w:szCs w:val="29"/>
          <w:highlight w:val="none"/>
        </w:rPr>
        <w:t>表</w:t>
      </w:r>
    </w:p>
    <w:p>
      <w:pPr>
        <w:spacing w:before="58" w:line="225" w:lineRule="auto"/>
        <w:rPr>
          <w:rFonts w:ascii="宋体" w:hAnsi="宋体" w:cs="宋体"/>
          <w:sz w:val="29"/>
          <w:szCs w:val="29"/>
          <w:highlight w:val="none"/>
        </w:rPr>
      </w:pPr>
      <w:r>
        <w:rPr>
          <w:rFonts w:ascii="宋体" w:hAnsi="宋体" w:cs="宋体"/>
          <w:spacing w:val="2"/>
          <w:sz w:val="29"/>
          <w:szCs w:val="29"/>
          <w:highlight w:val="none"/>
        </w:rPr>
        <w:t xml:space="preserve"> </w:t>
      </w:r>
    </w:p>
    <w:p>
      <w:pPr>
        <w:spacing w:before="298" w:line="192" w:lineRule="auto"/>
        <w:ind w:left="2507"/>
        <w:rPr>
          <w:rFonts w:hint="eastAsia" w:ascii="宋体" w:hAnsi="宋体" w:cs="宋体"/>
          <w:spacing w:val="1"/>
          <w:sz w:val="23"/>
          <w:szCs w:val="23"/>
          <w:highlight w:val="none"/>
        </w:rPr>
      </w:pPr>
    </w:p>
    <w:p>
      <w:pPr>
        <w:spacing w:before="298" w:line="192" w:lineRule="auto"/>
        <w:ind w:firstLine="3480" w:firstLineChars="1500"/>
        <w:rPr>
          <w:rFonts w:ascii="宋体" w:hAnsi="宋体" w:cs="宋体"/>
          <w:sz w:val="23"/>
          <w:szCs w:val="23"/>
          <w:highlight w:val="none"/>
        </w:rPr>
      </w:pP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z w:val="23"/>
          <w:szCs w:val="23"/>
          <w:highlight w:val="none"/>
        </w:rPr>
        <w:t>：</w:t>
      </w:r>
    </w:p>
    <w:p>
      <w:pPr>
        <w:rPr>
          <w:highlight w:val="none"/>
        </w:rPr>
        <w:sectPr>
          <w:type w:val="continuous"/>
          <w:pgSz w:w="11906" w:h="16839"/>
          <w:pgMar w:top="400" w:right="1785" w:bottom="1125" w:left="737" w:header="0" w:footer="965" w:gutter="0"/>
          <w:pgNumType w:fmt="decimal"/>
          <w:cols w:equalWidth="0" w:num="2">
            <w:col w:w="3541" w:space="100"/>
            <w:col w:w="5743"/>
          </w:cols>
        </w:sectPr>
      </w:pPr>
    </w:p>
    <w:p>
      <w:pPr>
        <w:spacing w:line="84" w:lineRule="exact"/>
        <w:rPr>
          <w:highlight w:val="none"/>
        </w:rPr>
      </w:pPr>
    </w:p>
    <w:tbl>
      <w:tblPr>
        <w:tblStyle w:val="25"/>
        <w:tblpPr w:leftFromText="180" w:rightFromText="180" w:vertAnchor="page" w:horzAnchor="page" w:tblpX="901" w:tblpY="3674"/>
        <w:tblOverlap w:val="never"/>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0"/>
        <w:gridCol w:w="6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3180" w:type="dxa"/>
            <w:noWrap w:val="0"/>
            <w:vAlign w:val="top"/>
          </w:tcPr>
          <w:p>
            <w:pPr>
              <w:spacing w:before="280" w:line="227" w:lineRule="auto"/>
              <w:ind w:left="1001"/>
              <w:rPr>
                <w:rFonts w:ascii="宋体" w:hAnsi="宋体" w:cs="宋体"/>
                <w:sz w:val="23"/>
                <w:szCs w:val="23"/>
                <w:highlight w:val="none"/>
              </w:rPr>
            </w:pPr>
            <w:r>
              <w:rPr>
                <w:rFonts w:ascii="宋体" w:hAnsi="宋体" w:cs="宋体"/>
                <w:spacing w:val="6"/>
                <w:sz w:val="23"/>
                <w:szCs w:val="23"/>
                <w:highlight w:val="none"/>
              </w:rPr>
              <w:t>项</w:t>
            </w:r>
            <w:r>
              <w:rPr>
                <w:rFonts w:ascii="宋体" w:hAnsi="宋体" w:cs="宋体"/>
                <w:spacing w:val="5"/>
                <w:sz w:val="23"/>
                <w:szCs w:val="23"/>
                <w:highlight w:val="none"/>
              </w:rPr>
              <w:t>目名称：</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3180" w:type="dxa"/>
            <w:noWrap w:val="0"/>
            <w:vAlign w:val="top"/>
          </w:tcPr>
          <w:p>
            <w:pPr>
              <w:spacing w:line="348" w:lineRule="auto"/>
              <w:rPr>
                <w:rFonts w:ascii="Arial"/>
                <w:highlight w:val="none"/>
              </w:rPr>
            </w:pPr>
          </w:p>
          <w:p>
            <w:pPr>
              <w:spacing w:before="75" w:line="226" w:lineRule="auto"/>
              <w:ind w:left="640"/>
              <w:rPr>
                <w:rFonts w:ascii="宋体" w:hAnsi="宋体" w:cs="宋体"/>
                <w:sz w:val="23"/>
                <w:szCs w:val="23"/>
                <w:highlight w:val="none"/>
              </w:rPr>
            </w:pPr>
            <w:r>
              <w:rPr>
                <w:rFonts w:hint="eastAsia" w:ascii="宋体" w:hAnsi="宋体" w:eastAsia="宋体" w:cs="宋体"/>
                <w:spacing w:val="6"/>
                <w:sz w:val="23"/>
                <w:szCs w:val="23"/>
                <w:highlight w:val="none"/>
                <w:lang w:eastAsia="zh-CN"/>
              </w:rPr>
              <w:t>参选</w:t>
            </w:r>
            <w:r>
              <w:rPr>
                <w:rFonts w:ascii="宋体" w:hAnsi="宋体" w:eastAsia="宋体" w:cs="宋体"/>
                <w:spacing w:val="6"/>
                <w:sz w:val="23"/>
                <w:szCs w:val="23"/>
                <w:highlight w:val="none"/>
              </w:rPr>
              <w:t>报价</w:t>
            </w:r>
            <w:r>
              <w:rPr>
                <w:rFonts w:ascii="宋体" w:hAnsi="宋体" w:cs="宋体"/>
                <w:spacing w:val="6"/>
                <w:sz w:val="23"/>
                <w:szCs w:val="23"/>
                <w:highlight w:val="none"/>
              </w:rPr>
              <w:t>(元)</w:t>
            </w:r>
            <w:r>
              <w:rPr>
                <w:rFonts w:ascii="宋体" w:hAnsi="宋体" w:cs="宋体"/>
                <w:spacing w:val="5"/>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3180" w:type="dxa"/>
            <w:noWrap w:val="0"/>
            <w:vAlign w:val="top"/>
          </w:tcPr>
          <w:p>
            <w:pPr>
              <w:spacing w:line="270" w:lineRule="auto"/>
              <w:rPr>
                <w:rFonts w:ascii="Arial"/>
                <w:highlight w:val="none"/>
              </w:rPr>
            </w:pPr>
          </w:p>
          <w:p>
            <w:pPr>
              <w:spacing w:line="271" w:lineRule="auto"/>
              <w:rPr>
                <w:rFonts w:ascii="Arial"/>
                <w:highlight w:val="none"/>
              </w:rPr>
            </w:pPr>
          </w:p>
          <w:p>
            <w:pPr>
              <w:spacing w:before="75" w:line="228" w:lineRule="auto"/>
              <w:ind w:left="1240"/>
              <w:rPr>
                <w:rFonts w:ascii="宋体" w:hAnsi="宋体" w:cs="宋体"/>
                <w:sz w:val="23"/>
                <w:szCs w:val="23"/>
                <w:highlight w:val="none"/>
              </w:rPr>
            </w:pPr>
            <w:r>
              <w:rPr>
                <w:rFonts w:hint="eastAsia" w:ascii="宋体" w:hAnsi="宋体" w:cs="宋体"/>
                <w:spacing w:val="3"/>
                <w:sz w:val="23"/>
                <w:szCs w:val="23"/>
                <w:highlight w:val="none"/>
                <w:lang w:eastAsia="zh-CN"/>
              </w:rPr>
              <w:t>服务</w:t>
            </w:r>
            <w:r>
              <w:rPr>
                <w:rFonts w:hint="eastAsia" w:ascii="宋体" w:hAnsi="宋体" w:cs="宋体"/>
                <w:spacing w:val="3"/>
                <w:sz w:val="23"/>
                <w:szCs w:val="23"/>
                <w:highlight w:val="none"/>
              </w:rPr>
              <w:t>期</w:t>
            </w:r>
            <w:r>
              <w:rPr>
                <w:rFonts w:ascii="宋体" w:hAnsi="宋体" w:cs="宋体"/>
                <w:spacing w:val="2"/>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70" w:type="dxa"/>
            <w:gridSpan w:val="2"/>
            <w:noWrap w:val="0"/>
            <w:vAlign w:val="top"/>
          </w:tcPr>
          <w:p>
            <w:pPr>
              <w:spacing w:before="280" w:line="226" w:lineRule="auto"/>
              <w:ind w:left="119"/>
              <w:rPr>
                <w:rFonts w:ascii="宋体" w:hAnsi="宋体" w:cs="宋体"/>
                <w:sz w:val="23"/>
                <w:szCs w:val="23"/>
                <w:highlight w:val="none"/>
              </w:rPr>
            </w:pPr>
            <w:r>
              <w:rPr>
                <w:rFonts w:hint="eastAsia" w:ascii="宋体" w:hAnsi="宋体" w:cs="宋体"/>
                <w:spacing w:val="9"/>
                <w:sz w:val="23"/>
                <w:szCs w:val="23"/>
                <w:highlight w:val="none"/>
              </w:rPr>
              <w:t>参选报价</w:t>
            </w:r>
            <w:r>
              <w:rPr>
                <w:rFonts w:ascii="宋体" w:hAnsi="宋体" w:cs="宋体"/>
                <w:spacing w:val="6"/>
                <w:sz w:val="23"/>
                <w:szCs w:val="23"/>
                <w:highlight w:val="none"/>
              </w:rPr>
              <w:t xml:space="preserve"> (大写) ：</w:t>
            </w:r>
          </w:p>
        </w:tc>
      </w:tr>
    </w:tbl>
    <w:p>
      <w:pPr>
        <w:spacing w:before="300" w:line="193" w:lineRule="auto"/>
        <w:ind w:left="120"/>
        <w:rPr>
          <w:rFonts w:ascii="宋体" w:hAnsi="宋体" w:cs="宋体"/>
          <w:sz w:val="20"/>
          <w:szCs w:val="20"/>
          <w:highlight w:val="none"/>
        </w:rPr>
      </w:pPr>
      <w:r>
        <w:rPr>
          <w:rFonts w:ascii="宋体" w:hAnsi="宋体" w:cs="宋体"/>
          <w:spacing w:val="13"/>
          <w:sz w:val="20"/>
          <w:szCs w:val="20"/>
          <w:highlight w:val="none"/>
        </w:rPr>
        <w:t>注</w:t>
      </w:r>
      <w:r>
        <w:rPr>
          <w:rFonts w:ascii="宋体" w:hAnsi="宋体" w:cs="宋体"/>
          <w:spacing w:val="9"/>
          <w:sz w:val="20"/>
          <w:szCs w:val="20"/>
          <w:highlight w:val="none"/>
        </w:rPr>
        <w:t>：应以人民币报价，单位为元，精确到小数点后两位。</w:t>
      </w:r>
    </w:p>
    <w:p>
      <w:pPr>
        <w:rPr>
          <w:highlight w:val="none"/>
        </w:rPr>
      </w:pPr>
    </w:p>
    <w:p>
      <w:pPr>
        <w:spacing w:before="75" w:line="192" w:lineRule="auto"/>
        <w:ind w:left="123"/>
        <w:jc w:val="center"/>
        <w:rPr>
          <w:rFonts w:hint="eastAsia" w:ascii="宋体" w:hAnsi="宋体" w:cs="宋体"/>
          <w:spacing w:val="8"/>
          <w:sz w:val="23"/>
          <w:szCs w:val="23"/>
          <w:highlight w:val="none"/>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12"/>
        <w:rPr>
          <w:rFonts w:hint="eastAsia" w:ascii="宋体" w:hAnsi="宋体" w:cs="宋体"/>
          <w:spacing w:val="8"/>
          <w:sz w:val="23"/>
          <w:szCs w:val="23"/>
          <w:highlight w:val="none"/>
          <w:lang w:val="en-US" w:eastAsia="zh-CN"/>
        </w:rPr>
      </w:pPr>
    </w:p>
    <w:p>
      <w:pPr>
        <w:pStyle w:val="13"/>
        <w:rPr>
          <w:rFonts w:hint="eastAsia" w:ascii="宋体" w:hAnsi="宋体" w:cs="宋体"/>
          <w:spacing w:val="8"/>
          <w:sz w:val="23"/>
          <w:szCs w:val="23"/>
          <w:highlight w:val="none"/>
          <w:lang w:val="en-US" w:eastAsia="zh-CN"/>
        </w:rPr>
      </w:pPr>
    </w:p>
    <w:p>
      <w:pPr>
        <w:pStyle w:val="13"/>
        <w:rPr>
          <w:rFonts w:hint="eastAsia" w:ascii="宋体" w:hAnsi="宋体" w:cs="宋体"/>
          <w:spacing w:val="8"/>
          <w:sz w:val="23"/>
          <w:szCs w:val="23"/>
          <w:highlight w:val="none"/>
          <w:lang w:val="en-US" w:eastAsia="zh-CN"/>
        </w:rPr>
      </w:pPr>
    </w:p>
    <w:p>
      <w:pPr>
        <w:pStyle w:val="1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spacing w:before="75" w:line="240" w:lineRule="auto"/>
        <w:jc w:val="center"/>
        <w:rPr>
          <w:rFonts w:hint="eastAsia" w:ascii="宋体" w:hAnsi="宋体" w:cs="宋体"/>
          <w:b/>
          <w:bCs/>
          <w:spacing w:val="8"/>
          <w:sz w:val="23"/>
          <w:szCs w:val="23"/>
          <w:highlight w:val="none"/>
        </w:rPr>
      </w:pPr>
    </w:p>
    <w:p>
      <w:pPr>
        <w:spacing w:before="75" w:line="240" w:lineRule="auto"/>
        <w:jc w:val="center"/>
        <w:rPr>
          <w:rFonts w:hint="eastAsia" w:ascii="宋体" w:hAnsi="宋体" w:cs="宋体"/>
          <w:b/>
          <w:bCs/>
          <w:spacing w:val="8"/>
          <w:sz w:val="23"/>
          <w:szCs w:val="23"/>
          <w:highlight w:val="none"/>
        </w:rPr>
      </w:pPr>
    </w:p>
    <w:p>
      <w:pPr>
        <w:spacing w:before="75" w:line="240" w:lineRule="auto"/>
        <w:jc w:val="center"/>
        <w:rPr>
          <w:rFonts w:hint="eastAsia" w:ascii="宋体" w:hAnsi="宋体" w:cs="宋体"/>
          <w:b/>
          <w:bCs/>
          <w:spacing w:val="8"/>
          <w:sz w:val="23"/>
          <w:szCs w:val="23"/>
          <w:highlight w:val="none"/>
        </w:rPr>
      </w:pPr>
    </w:p>
    <w:p>
      <w:pPr>
        <w:spacing w:before="75" w:line="240" w:lineRule="auto"/>
        <w:jc w:val="center"/>
        <w:rPr>
          <w:rFonts w:hint="eastAsia" w:ascii="宋体" w:hAnsi="宋体" w:eastAsia="宋体" w:cs="宋体"/>
          <w:b/>
          <w:bCs/>
          <w:spacing w:val="8"/>
          <w:sz w:val="23"/>
          <w:szCs w:val="23"/>
          <w:highlight w:val="none"/>
        </w:rPr>
      </w:pPr>
      <w:r>
        <w:rPr>
          <w:rFonts w:hint="eastAsia" w:ascii="宋体" w:hAnsi="宋体" w:cs="宋体"/>
          <w:b/>
          <w:bCs/>
          <w:spacing w:val="8"/>
          <w:sz w:val="23"/>
          <w:szCs w:val="23"/>
          <w:highlight w:val="none"/>
        </w:rPr>
        <w:t>4.2</w:t>
      </w:r>
      <w:r>
        <w:rPr>
          <w:rFonts w:hint="eastAsia" w:ascii="宋体" w:hAnsi="宋体" w:cs="宋体"/>
          <w:b/>
          <w:bCs/>
          <w:spacing w:val="8"/>
          <w:sz w:val="23"/>
          <w:szCs w:val="23"/>
          <w:highlight w:val="none"/>
          <w:lang w:val="zh-CN" w:eastAsia="zh-CN"/>
        </w:rPr>
        <w:t>滨湖人文一期项目开荒保洁工程控制价</w:t>
      </w:r>
    </w:p>
    <w:tbl>
      <w:tblPr>
        <w:tblStyle w:val="25"/>
        <w:tblW w:w="52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900"/>
        <w:gridCol w:w="1795"/>
        <w:gridCol w:w="994"/>
        <w:gridCol w:w="1290"/>
        <w:gridCol w:w="1003"/>
        <w:gridCol w:w="1561"/>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子项</w:t>
            </w:r>
          </w:p>
        </w:tc>
        <w:tc>
          <w:tcPr>
            <w:tcW w:w="1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服务内容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合价（含税）</w:t>
            </w:r>
          </w:p>
        </w:tc>
        <w:tc>
          <w:tcPr>
            <w:tcW w:w="1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00" w:type="dxa"/>
            <w:vMerge w:val="restart"/>
            <w:tcBorders>
              <w:top w:val="nil"/>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滨湖人文一期项目开荒保洁工程</w:t>
            </w:r>
          </w:p>
        </w:tc>
        <w:tc>
          <w:tcPr>
            <w:tcW w:w="9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公区部位等</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1.精装及毛坯公共部位：含架空层、公共走道、电梯前室、楼梯前室、地上地下大堂、归家大堂、电梯轿厢、屋面等；2.清洁方式、用品等综合考虑；3.满足招标文件“精装开荒服务”要求</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m2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13432.15</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726"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按实际保洁公区建筑面积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highlight w:val="none"/>
                <w:u w:val="none"/>
              </w:rPr>
            </w:pPr>
          </w:p>
        </w:tc>
        <w:tc>
          <w:tcPr>
            <w:tcW w:w="9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地下车库</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1.地下车库（（含落客区、停车位、行车道、设备用房））；2.清洁方式、用品等综合考虑；3.满足招标文件“精装开荒服务”要求</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m2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42269.44</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726"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以地下室工规证总建面为准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highlight w:val="none"/>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99" w:leftChars="95" w:firstLine="0" w:firstLineChars="0"/>
              <w:jc w:val="left"/>
              <w:textAlignment w:val="center"/>
            </w:pPr>
            <w:r>
              <w:rPr>
                <w:rFonts w:hint="eastAsia" w:ascii="宋体" w:hAnsi="宋体" w:eastAsia="宋体" w:cs="宋体"/>
                <w:b/>
                <w:bCs/>
                <w:i w:val="0"/>
                <w:iCs w:val="0"/>
                <w:color w:val="000000"/>
                <w:kern w:val="0"/>
                <w:sz w:val="20"/>
                <w:szCs w:val="20"/>
                <w:highlight w:val="none"/>
                <w:u w:val="none"/>
                <w:lang w:val="en-US" w:eastAsia="zh-CN" w:bidi="ar"/>
              </w:rPr>
              <w:t>外立面</w:t>
            </w:r>
          </w:p>
        </w:tc>
        <w:tc>
          <w:tcPr>
            <w:tcW w:w="1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1.含所有铝合金门窗、百叶、玻璃、栏杆、铝单板、雨蓬、外立面石材(含大门）、幕墙等；2.清洁方式、用品等综合考虑；3.满足招标文件“精装开荒服务”要求。4.必须使用清水，不得破坏绿化</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m2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16589.62</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p>
        </w:tc>
        <w:tc>
          <w:tcPr>
            <w:tcW w:w="1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其中门窗按洞口尺寸，百叶按投影面积计算，除门窗和百叶外，剩余需清洁部位不单独计算单价需综合考虑在门窗和百叶综合单价中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highlight w:val="none"/>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室外</w:t>
            </w:r>
          </w:p>
        </w:tc>
        <w:tc>
          <w:tcPr>
            <w:tcW w:w="1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1.包括但不限于广场地面、各种灯具、各类广告灯箱</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、服务亭、各种标识、成品座椅、背景音 乐喇叭、垃圾桶、绿地、花池、树池、水景观、小品及旗杆、窨井盖、雨水井盖、各种配套设施、文体中心、幼儿园、商铺及商铺临街垃圾清扫等。2.清洁方式、用品等综合考虑；3.满足招标文件“精装开荒服务”要求。4.必须使用清水，不得破坏绿化</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m2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27562.18</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1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17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按实际地材地铺水平投影面积计算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0" w:type="dxa"/>
            <w:tcBorders>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bCs/>
                <w:i w:val="0"/>
                <w:iCs w:val="0"/>
                <w:color w:val="000000"/>
                <w:sz w:val="22"/>
                <w:szCs w:val="22"/>
                <w:highlight w:val="none"/>
                <w:u w:val="none"/>
                <w:lang w:val="en-US" w:eastAsia="zh-CN"/>
              </w:rPr>
            </w:pPr>
            <w:r>
              <w:rPr>
                <w:rFonts w:hint="eastAsia" w:ascii="宋体" w:hAnsi="宋体" w:cs="宋体"/>
                <w:b/>
                <w:bCs/>
                <w:i w:val="0"/>
                <w:iCs w:val="0"/>
                <w:color w:val="000000"/>
                <w:sz w:val="22"/>
                <w:szCs w:val="22"/>
                <w:highlight w:val="none"/>
                <w:u w:val="none"/>
                <w:lang w:val="en-US" w:eastAsia="zh-CN"/>
              </w:rPr>
              <w:t>合计（元）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1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17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注：1.该单价包含现场测量、出具相关文件（报告）、管理费、税金、人员工资等一切相关费用。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2.最终出具的报告需获得相关部门认可。</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3.本清单测绘工程量为暂定，最终以实际相关测绘成果报告工程量为准。</w:t>
            </w:r>
          </w:p>
        </w:tc>
      </w:tr>
    </w:tbl>
    <w:p>
      <w:pPr>
        <w:pStyle w:val="23"/>
        <w:rPr>
          <w:rFonts w:hint="eastAsia"/>
          <w:highlight w:val="none"/>
          <w:lang w:val="en-US" w:eastAsia="zh-CN"/>
        </w:rPr>
      </w:pPr>
    </w:p>
    <w:p>
      <w:pPr>
        <w:widowControl/>
        <w:ind w:firstLine="200" w:firstLineChars="100"/>
        <w:textAlignment w:val="center"/>
        <w:rPr>
          <w:rFonts w:ascii="等线" w:hAnsi="等线" w:eastAsia="等线" w:cs="等线"/>
          <w:color w:val="000000"/>
          <w:kern w:val="0"/>
          <w:sz w:val="20"/>
          <w:szCs w:val="20"/>
          <w:highlight w:val="none"/>
          <w:lang w:bidi="ar"/>
        </w:rPr>
      </w:pPr>
    </w:p>
    <w:p>
      <w:pPr>
        <w:pStyle w:val="23"/>
        <w:rPr>
          <w:rFonts w:hint="eastAsia" w:ascii="宋体" w:hAnsi="宋体" w:cs="宋体"/>
          <w:spacing w:val="8"/>
          <w:sz w:val="23"/>
          <w:szCs w:val="23"/>
          <w:highlight w:val="none"/>
          <w:lang w:val="en-US" w:eastAsia="zh-CN"/>
        </w:rPr>
      </w:pPr>
    </w:p>
    <w:p>
      <w:pPr>
        <w:pStyle w:val="23"/>
        <w:rPr>
          <w:rFonts w:hint="eastAsia"/>
          <w:highlight w:val="none"/>
          <w:lang w:val="en-US" w:eastAsia="zh-CN"/>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pStyle w:val="23"/>
        <w:rPr>
          <w:rFonts w:hint="eastAsia" w:ascii="宋体" w:hAnsi="宋体" w:cs="宋体"/>
          <w:spacing w:val="8"/>
          <w:sz w:val="23"/>
          <w:szCs w:val="23"/>
          <w:highlight w:val="none"/>
          <w:lang w:val="en-US" w:eastAsia="zh-CN"/>
        </w:rPr>
        <w:sectPr>
          <w:type w:val="continuous"/>
          <w:pgSz w:w="11906" w:h="16839"/>
          <w:pgMar w:top="400" w:right="1785" w:bottom="1125" w:left="737" w:header="0" w:footer="965" w:gutter="0"/>
          <w:pgNumType w:fmt="decimal"/>
          <w:cols w:space="720" w:num="1"/>
        </w:sectPr>
      </w:pPr>
    </w:p>
    <w:p>
      <w:pPr>
        <w:spacing w:line="279" w:lineRule="auto"/>
        <w:rPr>
          <w:rFonts w:ascii="Arial"/>
          <w:highlight w:val="none"/>
        </w:rPr>
      </w:pPr>
    </w:p>
    <w:p>
      <w:pPr>
        <w:spacing w:before="94" w:line="238" w:lineRule="auto"/>
        <w:ind w:left="3675"/>
        <w:rPr>
          <w:rFonts w:eastAsia="Times New Roman"/>
          <w:b/>
          <w:bCs/>
          <w:spacing w:val="2"/>
          <w:sz w:val="29"/>
          <w:szCs w:val="29"/>
          <w:highlight w:val="none"/>
        </w:rPr>
      </w:pPr>
    </w:p>
    <w:p>
      <w:pPr>
        <w:spacing w:before="94" w:line="238" w:lineRule="auto"/>
        <w:ind w:left="3675"/>
        <w:rPr>
          <w:rFonts w:ascii="宋体" w:hAnsi="宋体" w:cs="宋体"/>
          <w:sz w:val="29"/>
          <w:szCs w:val="29"/>
          <w:highlight w:val="none"/>
        </w:rPr>
      </w:pPr>
      <w:r>
        <w:rPr>
          <w:rFonts w:eastAsia="Times New Roman"/>
          <w:b/>
          <w:bCs/>
          <w:spacing w:val="2"/>
          <w:sz w:val="29"/>
          <w:szCs w:val="29"/>
          <w:highlight w:val="none"/>
        </w:rPr>
        <w:t>5</w:t>
      </w:r>
      <w:r>
        <w:rPr>
          <w:rFonts w:eastAsia="Times New Roman"/>
          <w:spacing w:val="2"/>
          <w:sz w:val="29"/>
          <w:szCs w:val="29"/>
          <w:highlight w:val="none"/>
        </w:rPr>
        <w:t xml:space="preserve"> </w:t>
      </w:r>
      <w:r>
        <w:rPr>
          <w:rFonts w:ascii="宋体" w:hAnsi="宋体" w:cs="宋体"/>
          <w:spacing w:val="2"/>
          <w:sz w:val="29"/>
          <w:szCs w:val="29"/>
          <w:highlight w:val="none"/>
        </w:rPr>
        <w:t>、参选人的</w:t>
      </w:r>
      <w:r>
        <w:rPr>
          <w:rFonts w:ascii="宋体" w:hAnsi="宋体" w:cs="宋体"/>
          <w:spacing w:val="1"/>
          <w:sz w:val="29"/>
          <w:szCs w:val="29"/>
          <w:highlight w:val="none"/>
        </w:rPr>
        <w:t>资格声明</w:t>
      </w:r>
    </w:p>
    <w:p>
      <w:pPr>
        <w:spacing w:line="264" w:lineRule="auto"/>
        <w:rPr>
          <w:rFonts w:ascii="Arial"/>
          <w:highlight w:val="none"/>
        </w:rPr>
      </w:pPr>
    </w:p>
    <w:p>
      <w:pPr>
        <w:spacing w:line="264"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z w:val="23"/>
          <w:szCs w:val="23"/>
          <w:highlight w:val="none"/>
        </w:rPr>
        <w:t>致：</w:t>
      </w:r>
      <w:r>
        <w:rPr>
          <w:rFonts w:hint="eastAsia" w:ascii="宋体" w:hAnsi="宋体" w:cs="宋体"/>
          <w:spacing w:val="9"/>
          <w:sz w:val="23"/>
          <w:szCs w:val="23"/>
          <w:highlight w:val="none"/>
          <w:lang w:eastAsia="zh-CN"/>
        </w:rPr>
        <w:t>南昌红投置业有限公司</w:t>
      </w:r>
    </w:p>
    <w:p>
      <w:pPr>
        <w:spacing w:line="250" w:lineRule="auto"/>
        <w:rPr>
          <w:rFonts w:ascii="Arial"/>
          <w:highlight w:val="none"/>
        </w:rPr>
      </w:pPr>
    </w:p>
    <w:p>
      <w:pPr>
        <w:spacing w:line="250" w:lineRule="auto"/>
        <w:rPr>
          <w:rFonts w:ascii="Arial"/>
          <w:highlight w:val="none"/>
        </w:rPr>
      </w:pPr>
    </w:p>
    <w:p>
      <w:pPr>
        <w:spacing w:before="75" w:line="382" w:lineRule="auto"/>
        <w:ind w:left="479" w:firstLine="422"/>
        <w:rPr>
          <w:rFonts w:eastAsia="Times New Roman"/>
          <w:sz w:val="23"/>
          <w:szCs w:val="23"/>
          <w:highlight w:val="none"/>
        </w:rPr>
      </w:pPr>
      <w:r>
        <w:rPr>
          <w:rFonts w:ascii="宋体" w:hAnsi="宋体" w:cs="宋体"/>
          <w:spacing w:val="2"/>
          <w:sz w:val="23"/>
          <w:szCs w:val="23"/>
          <w:highlight w:val="none"/>
        </w:rPr>
        <w:t>我们</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(参选人全称) 愿意对</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w:t>
      </w: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 进行投标。并</w:t>
      </w:r>
      <w:r>
        <w:rPr>
          <w:rFonts w:ascii="宋体" w:hAnsi="宋体" w:cs="宋体"/>
          <w:sz w:val="23"/>
          <w:szCs w:val="23"/>
          <w:highlight w:val="none"/>
        </w:rPr>
        <w:t xml:space="preserve"> </w:t>
      </w:r>
      <w:r>
        <w:rPr>
          <w:rFonts w:ascii="宋体" w:hAnsi="宋体" w:cs="宋体"/>
          <w:spacing w:val="8"/>
          <w:sz w:val="23"/>
          <w:szCs w:val="23"/>
          <w:highlight w:val="none"/>
        </w:rPr>
        <w:t>在</w:t>
      </w:r>
      <w:r>
        <w:rPr>
          <w:rFonts w:ascii="宋体" w:hAnsi="宋体" w:cs="宋体"/>
          <w:spacing w:val="7"/>
          <w:sz w:val="23"/>
          <w:szCs w:val="23"/>
          <w:highlight w:val="none"/>
        </w:rPr>
        <w:t>此声明，参选文件中所有关于参选人资格的文件材料、证明、陈述均是真实、准确的。如果</w:t>
      </w:r>
      <w:r>
        <w:rPr>
          <w:rFonts w:ascii="宋体" w:hAnsi="宋体" w:cs="宋体"/>
          <w:spacing w:val="16"/>
          <w:sz w:val="23"/>
          <w:szCs w:val="23"/>
          <w:highlight w:val="none"/>
        </w:rPr>
        <w:t>发现</w:t>
      </w:r>
      <w:r>
        <w:rPr>
          <w:rFonts w:ascii="宋体" w:hAnsi="宋体" w:cs="宋体"/>
          <w:spacing w:val="10"/>
          <w:sz w:val="23"/>
          <w:szCs w:val="23"/>
          <w:highlight w:val="none"/>
        </w:rPr>
        <w:t>此</w:t>
      </w:r>
      <w:r>
        <w:rPr>
          <w:rFonts w:ascii="宋体" w:hAnsi="宋体" w:cs="宋体"/>
          <w:spacing w:val="8"/>
          <w:sz w:val="23"/>
          <w:szCs w:val="23"/>
          <w:highlight w:val="none"/>
        </w:rPr>
        <w:t>类文件材料、证明、陈述与事实不符，我方将承担由此而产生的一切后果。</w:t>
      </w:r>
      <w:r>
        <w:rPr>
          <w:rFonts w:ascii="宋体" w:hAnsi="宋体" w:cs="宋体"/>
          <w:sz w:val="23"/>
          <w:szCs w:val="23"/>
          <w:highlight w:val="none"/>
        </w:rPr>
        <w:t xml:space="preserve"> </w:t>
      </w:r>
      <w:r>
        <w:rPr>
          <w:rFonts w:ascii="宋体" w:hAnsi="宋体" w:cs="宋体"/>
          <w:spacing w:val="9"/>
          <w:sz w:val="23"/>
          <w:szCs w:val="23"/>
          <w:highlight w:val="none"/>
        </w:rPr>
        <w:t>特</w:t>
      </w:r>
      <w:r>
        <w:rPr>
          <w:rFonts w:ascii="宋体" w:hAnsi="宋体" w:cs="宋体"/>
          <w:spacing w:val="6"/>
          <w:sz w:val="23"/>
          <w:szCs w:val="23"/>
          <w:highlight w:val="none"/>
        </w:rPr>
        <w:t>此声明</w:t>
      </w:r>
      <w:r>
        <w:rPr>
          <w:rFonts w:eastAsia="Times New Roman"/>
          <w:spacing w:val="6"/>
          <w:sz w:val="23"/>
          <w:szCs w:val="23"/>
          <w:highlight w:val="none"/>
        </w:rPr>
        <w:t>!</w:t>
      </w: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rPr>
          <w:highlight w:val="none"/>
        </w:rPr>
        <w:sectPr>
          <w:footerReference r:id="rId14" w:type="default"/>
          <w:pgSz w:w="11906" w:h="16839"/>
          <w:pgMar w:top="400" w:right="849" w:bottom="1125" w:left="858" w:header="0" w:footer="965" w:gutter="0"/>
          <w:pgNumType w:fmt="decimal"/>
          <w:cols w:space="720" w:num="1"/>
        </w:sectPr>
      </w:pPr>
    </w:p>
    <w:p>
      <w:pPr>
        <w:spacing w:line="273" w:lineRule="auto"/>
        <w:rPr>
          <w:rFonts w:ascii="Arial"/>
          <w:highlight w:val="none"/>
        </w:rPr>
      </w:pPr>
    </w:p>
    <w:p>
      <w:pPr>
        <w:spacing w:line="273" w:lineRule="auto"/>
        <w:rPr>
          <w:rFonts w:ascii="Arial"/>
          <w:highlight w:val="none"/>
        </w:rPr>
      </w:pPr>
    </w:p>
    <w:p>
      <w:pPr>
        <w:spacing w:line="274" w:lineRule="auto"/>
        <w:rPr>
          <w:rFonts w:ascii="Arial"/>
          <w:highlight w:val="none"/>
        </w:rPr>
      </w:pPr>
    </w:p>
    <w:p>
      <w:pPr>
        <w:spacing w:before="95" w:line="238" w:lineRule="auto"/>
        <w:ind w:left="3978"/>
        <w:rPr>
          <w:rFonts w:ascii="宋体" w:hAnsi="宋体" w:cs="宋体"/>
          <w:sz w:val="29"/>
          <w:szCs w:val="29"/>
          <w:highlight w:val="none"/>
        </w:rPr>
      </w:pPr>
      <w:r>
        <w:rPr>
          <w:rFonts w:eastAsia="Times New Roman"/>
          <w:b/>
          <w:bCs/>
          <w:spacing w:val="-1"/>
          <w:sz w:val="29"/>
          <w:szCs w:val="29"/>
          <w:highlight w:val="none"/>
        </w:rPr>
        <w:t>6</w:t>
      </w:r>
      <w:r>
        <w:rPr>
          <w:rFonts w:eastAsia="Times New Roman"/>
          <w:spacing w:val="-1"/>
          <w:sz w:val="29"/>
          <w:szCs w:val="29"/>
          <w:highlight w:val="none"/>
        </w:rPr>
        <w:t xml:space="preserve"> </w:t>
      </w:r>
      <w:r>
        <w:rPr>
          <w:rFonts w:ascii="宋体" w:hAnsi="宋体" w:cs="宋体"/>
          <w:spacing w:val="-1"/>
          <w:sz w:val="29"/>
          <w:szCs w:val="29"/>
          <w:highlight w:val="none"/>
        </w:rPr>
        <w:t>、</w:t>
      </w:r>
      <w:r>
        <w:rPr>
          <w:rFonts w:ascii="宋体" w:hAnsi="宋体" w:cs="宋体"/>
          <w:sz w:val="29"/>
          <w:szCs w:val="29"/>
          <w:highlight w:val="none"/>
        </w:rPr>
        <w:t>资格证明文件</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1、具有独立承担民事责任的能力；</w:t>
      </w:r>
    </w:p>
    <w:p>
      <w:pPr>
        <w:spacing w:before="1" w:line="376" w:lineRule="auto"/>
        <w:ind w:left="1" w:hanging="1"/>
        <w:rPr>
          <w:rFonts w:hint="eastAsia" w:ascii="宋体" w:hAnsi="宋体" w:eastAsia="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评审依据：营业执照或事业单位法人证书复印件加盖公章</w:t>
      </w:r>
      <w:r>
        <w:rPr>
          <w:rFonts w:hint="eastAsia" w:ascii="宋体" w:hAnsi="宋体" w:cs="宋体"/>
          <w:b/>
          <w:bCs/>
          <w:spacing w:val="12"/>
          <w:position w:val="1"/>
          <w:sz w:val="23"/>
          <w:szCs w:val="23"/>
          <w:highlight w:val="none"/>
          <w:lang w:eastAsia="zh-CN"/>
        </w:rPr>
        <w:t>。</w:t>
      </w:r>
      <w:r>
        <w:rPr>
          <w:rFonts w:hint="eastAsia" w:ascii="宋体" w:hAnsi="宋体" w:eastAsia="宋体" w:cs="宋体"/>
          <w:b/>
          <w:bCs/>
          <w:spacing w:val="12"/>
          <w:position w:val="1"/>
          <w:sz w:val="23"/>
          <w:szCs w:val="23"/>
          <w:highlight w:val="none"/>
        </w:rPr>
        <w:t>如分公司参与投标的，必须提供总公司授权分公司投标的授权函。</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2、具有良好的商业信誉和健全的财务会计制度；</w:t>
      </w:r>
    </w:p>
    <w:p>
      <w:pPr>
        <w:spacing w:before="1" w:line="376" w:lineRule="auto"/>
        <w:ind w:left="1" w:hanging="1"/>
        <w:rPr>
          <w:rFonts w:hint="eastAsia" w:ascii="宋体" w:hAnsi="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评审依据：提供202</w:t>
      </w:r>
      <w:r>
        <w:rPr>
          <w:rFonts w:hint="eastAsia" w:ascii="宋体" w:hAnsi="宋体" w:cs="宋体"/>
          <w:b/>
          <w:bCs/>
          <w:spacing w:val="12"/>
          <w:position w:val="1"/>
          <w:sz w:val="23"/>
          <w:szCs w:val="23"/>
          <w:highlight w:val="none"/>
          <w:lang w:val="en-US" w:eastAsia="zh-CN"/>
        </w:rPr>
        <w:t>1</w:t>
      </w:r>
      <w:r>
        <w:rPr>
          <w:rFonts w:hint="eastAsia" w:ascii="宋体" w:hAnsi="宋体" w:cs="宋体"/>
          <w:b/>
          <w:bCs/>
          <w:spacing w:val="12"/>
          <w:position w:val="1"/>
          <w:sz w:val="23"/>
          <w:szCs w:val="23"/>
          <w:highlight w:val="none"/>
        </w:rPr>
        <w:t>年度或202</w:t>
      </w:r>
      <w:r>
        <w:rPr>
          <w:rFonts w:hint="eastAsia" w:ascii="宋体" w:hAnsi="宋体" w:cs="宋体"/>
          <w:b/>
          <w:bCs/>
          <w:spacing w:val="12"/>
          <w:position w:val="1"/>
          <w:sz w:val="23"/>
          <w:szCs w:val="23"/>
          <w:highlight w:val="none"/>
          <w:lang w:val="en-US" w:eastAsia="zh-CN"/>
        </w:rPr>
        <w:t>2</w:t>
      </w:r>
      <w:r>
        <w:rPr>
          <w:rFonts w:hint="eastAsia" w:ascii="宋体" w:hAnsi="宋体" w:cs="宋体"/>
          <w:b/>
          <w:bCs/>
          <w:spacing w:val="12"/>
          <w:position w:val="1"/>
          <w:sz w:val="23"/>
          <w:szCs w:val="23"/>
          <w:highlight w:val="none"/>
        </w:rPr>
        <w:t>年度财务审计报告或开标前20天内基本开户行开具的资信证明或提供开标前一个月财务报表（包含资产负债表、利润表、现金流量表）或提供承诺函（详见第六章6-1）。</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3、具有履行合同所必需的</w:t>
      </w:r>
      <w:r>
        <w:rPr>
          <w:rFonts w:hint="eastAsia" w:ascii="宋体" w:hAnsi="宋体" w:cs="宋体"/>
          <w:spacing w:val="12"/>
          <w:position w:val="1"/>
          <w:sz w:val="23"/>
          <w:szCs w:val="23"/>
          <w:highlight w:val="none"/>
          <w:lang w:eastAsia="zh-CN"/>
        </w:rPr>
        <w:t>设备</w:t>
      </w:r>
      <w:r>
        <w:rPr>
          <w:rFonts w:hint="eastAsia" w:ascii="宋体" w:hAnsi="宋体" w:cs="宋体"/>
          <w:spacing w:val="12"/>
          <w:position w:val="1"/>
          <w:sz w:val="23"/>
          <w:szCs w:val="23"/>
          <w:highlight w:val="none"/>
        </w:rPr>
        <w:t>和专业技术能力；</w:t>
      </w:r>
    </w:p>
    <w:p>
      <w:pPr>
        <w:spacing w:before="1" w:line="376" w:lineRule="auto"/>
        <w:ind w:left="1" w:hanging="1"/>
        <w:rPr>
          <w:rFonts w:hint="eastAsia" w:ascii="宋体" w:hAnsi="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评审依据：提供承诺函（详见第六章6-2）。</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4、有依法缴纳税收和社会保障资金的良好记录；</w:t>
      </w:r>
    </w:p>
    <w:p>
      <w:pPr>
        <w:spacing w:before="1" w:line="376" w:lineRule="auto"/>
        <w:ind w:left="1" w:hanging="1"/>
        <w:rPr>
          <w:rFonts w:hint="eastAsia" w:ascii="宋体" w:hAnsi="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评审依据：提供开标前六个月(不含开标当月)任意一个月的税收及社保缴纳凭证(该项网上查询打印纸质材料加盖公章可作原件使用)或提供承诺函（第六章详见6-3）。</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 xml:space="preserve">5、参加比选活动前三年内，在经营活动中没有重大违法记录； </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b/>
          <w:bCs/>
          <w:spacing w:val="12"/>
          <w:position w:val="1"/>
          <w:sz w:val="23"/>
          <w:szCs w:val="23"/>
          <w:highlight w:val="none"/>
        </w:rPr>
        <w:t>评审依据：提供声明函（详见第六章6-4）。</w:t>
      </w:r>
      <w:r>
        <w:rPr>
          <w:rFonts w:hint="eastAsia" w:ascii="宋体" w:hAnsi="宋体" w:cs="宋体"/>
          <w:spacing w:val="12"/>
          <w:position w:val="1"/>
          <w:sz w:val="23"/>
          <w:szCs w:val="23"/>
          <w:highlight w:val="none"/>
        </w:rPr>
        <w:t xml:space="preserve">                                     </w:t>
      </w:r>
    </w:p>
    <w:p>
      <w:pPr>
        <w:spacing w:before="1" w:line="376" w:lineRule="auto"/>
        <w:ind w:left="1" w:hanging="1"/>
        <w:rPr>
          <w:rFonts w:hint="eastAsia" w:ascii="宋体" w:hAnsi="宋体" w:eastAsia="宋体" w:cs="宋体"/>
          <w:spacing w:val="12"/>
          <w:position w:val="1"/>
          <w:sz w:val="23"/>
          <w:szCs w:val="23"/>
          <w:highlight w:val="none"/>
          <w:lang w:eastAsia="zh-CN"/>
        </w:rPr>
      </w:pPr>
      <w:r>
        <w:rPr>
          <w:rFonts w:hint="eastAsia" w:ascii="宋体" w:hAnsi="宋体" w:cs="宋体"/>
          <w:spacing w:val="12"/>
          <w:position w:val="1"/>
          <w:sz w:val="23"/>
          <w:szCs w:val="23"/>
          <w:highlight w:val="none"/>
        </w:rPr>
        <w:t>6、授权委托书及本人身份证(如法人到场提供身份证及法定代表人身份证明书)</w:t>
      </w:r>
      <w:r>
        <w:rPr>
          <w:rFonts w:hint="eastAsia" w:ascii="宋体" w:hAnsi="宋体" w:cs="宋体"/>
          <w:spacing w:val="12"/>
          <w:position w:val="1"/>
          <w:sz w:val="23"/>
          <w:szCs w:val="23"/>
          <w:highlight w:val="none"/>
          <w:lang w:eastAsia="zh-CN"/>
        </w:rPr>
        <w:t>；</w:t>
      </w:r>
      <w:r>
        <w:rPr>
          <w:rFonts w:hint="eastAsia" w:ascii="宋体" w:hAnsi="宋体" w:cs="宋体"/>
          <w:spacing w:val="12"/>
          <w:position w:val="1"/>
          <w:sz w:val="23"/>
          <w:szCs w:val="23"/>
          <w:highlight w:val="none"/>
        </w:rPr>
        <w:t xml:space="preserve">                                                                  7、</w:t>
      </w:r>
      <w:r>
        <w:rPr>
          <w:rFonts w:hint="eastAsia" w:ascii="宋体" w:hAnsi="宋体" w:cs="宋体"/>
          <w:sz w:val="24"/>
          <w:szCs w:val="32"/>
          <w:highlight w:val="none"/>
        </w:rPr>
        <w:t>参选人</w:t>
      </w:r>
      <w:r>
        <w:rPr>
          <w:rFonts w:hint="eastAsia" w:ascii="宋体" w:hAnsi="宋体" w:cs="宋体"/>
          <w:sz w:val="24"/>
          <w:szCs w:val="32"/>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sz w:val="24"/>
          <w:szCs w:val="32"/>
          <w:highlight w:val="none"/>
          <w:lang w:val="en-US" w:eastAsia="zh-CN"/>
        </w:rPr>
        <w:t>参选</w:t>
      </w:r>
      <w:r>
        <w:rPr>
          <w:rFonts w:hint="eastAsia" w:ascii="宋体" w:hAnsi="宋体" w:cs="宋体"/>
          <w:sz w:val="24"/>
          <w:szCs w:val="32"/>
          <w:highlight w:val="none"/>
          <w:lang w:eastAsia="zh-CN"/>
        </w:rPr>
        <w:t>人和通过中国政府采购网查询相关主体信用记录，被列入政府采购严重违法失信行为记录名单（处罚期限尚未届满的）</w:t>
      </w:r>
      <w:r>
        <w:rPr>
          <w:rFonts w:hint="eastAsia" w:ascii="宋体" w:hAnsi="宋体" w:cs="宋体"/>
          <w:sz w:val="24"/>
          <w:szCs w:val="32"/>
          <w:highlight w:val="none"/>
          <w:lang w:val="en-US" w:eastAsia="zh-CN"/>
        </w:rPr>
        <w:t>参选</w:t>
      </w:r>
      <w:r>
        <w:rPr>
          <w:rFonts w:hint="eastAsia" w:ascii="宋体" w:hAnsi="宋体" w:cs="宋体"/>
          <w:sz w:val="24"/>
          <w:szCs w:val="32"/>
          <w:highlight w:val="none"/>
          <w:lang w:eastAsia="zh-CN"/>
        </w:rPr>
        <w:t>人，不得参与本项目的</w:t>
      </w:r>
      <w:r>
        <w:rPr>
          <w:rFonts w:hint="eastAsia" w:ascii="宋体" w:hAnsi="宋体" w:cs="宋体"/>
          <w:sz w:val="24"/>
          <w:szCs w:val="32"/>
          <w:highlight w:val="none"/>
          <w:lang w:val="en-US" w:eastAsia="zh-CN"/>
        </w:rPr>
        <w:t>比选</w:t>
      </w:r>
      <w:r>
        <w:rPr>
          <w:rFonts w:hint="eastAsia" w:ascii="宋体" w:hAnsi="宋体" w:cs="宋体"/>
          <w:sz w:val="24"/>
          <w:szCs w:val="32"/>
          <w:highlight w:val="none"/>
          <w:lang w:eastAsia="zh-CN"/>
        </w:rPr>
        <w:t>活动</w:t>
      </w:r>
      <w:r>
        <w:rPr>
          <w:rFonts w:hint="eastAsia" w:ascii="宋体" w:hAnsi="宋体" w:cs="宋体"/>
          <w:spacing w:val="12"/>
          <w:position w:val="1"/>
          <w:sz w:val="23"/>
          <w:szCs w:val="23"/>
          <w:highlight w:val="none"/>
          <w:lang w:eastAsia="zh-CN"/>
        </w:rPr>
        <w:t>。</w:t>
      </w:r>
    </w:p>
    <w:p>
      <w:pPr>
        <w:spacing w:before="1" w:line="376" w:lineRule="auto"/>
        <w:ind w:left="1" w:hanging="1"/>
        <w:rPr>
          <w:rFonts w:hint="eastAsia" w:ascii="宋体" w:hAnsi="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评审依据：提供信用中国及中国政府采购网相关内容查询截图打印加盖公章(该项网上查询打印纸质材料加盖公章可作原件使用)。</w:t>
      </w:r>
    </w:p>
    <w:p>
      <w:pPr>
        <w:spacing w:line="273" w:lineRule="auto"/>
        <w:rPr>
          <w:rFonts w:ascii="Arial"/>
          <w:highlight w:val="none"/>
        </w:rPr>
      </w:pPr>
    </w:p>
    <w:p>
      <w:pPr>
        <w:pStyle w:val="23"/>
        <w:rPr>
          <w:rFonts w:ascii="Arial"/>
          <w:highlight w:val="none"/>
        </w:rPr>
      </w:pPr>
    </w:p>
    <w:p>
      <w:pPr>
        <w:pStyle w:val="12"/>
        <w:rPr>
          <w:rFonts w:ascii="Arial"/>
          <w:highlight w:val="none"/>
        </w:rPr>
      </w:pPr>
    </w:p>
    <w:p>
      <w:pPr>
        <w:pStyle w:val="13"/>
        <w:rPr>
          <w:rFonts w:ascii="Arial"/>
          <w:highlight w:val="none"/>
        </w:rPr>
      </w:pPr>
    </w:p>
    <w:p>
      <w:pPr>
        <w:pStyle w:val="13"/>
        <w:rPr>
          <w:rFonts w:ascii="Arial"/>
          <w:highlight w:val="none"/>
        </w:rPr>
      </w:pPr>
    </w:p>
    <w:p>
      <w:pPr>
        <w:pStyle w:val="13"/>
        <w:rPr>
          <w:rFonts w:ascii="Arial"/>
          <w:highlight w:val="none"/>
        </w:rPr>
      </w:pPr>
    </w:p>
    <w:p>
      <w:pPr>
        <w:pStyle w:val="13"/>
        <w:rPr>
          <w:rFonts w:ascii="Arial"/>
          <w:highlight w:val="none"/>
        </w:rPr>
      </w:pPr>
    </w:p>
    <w:p>
      <w:pPr>
        <w:pStyle w:val="13"/>
        <w:rPr>
          <w:rFonts w:ascii="Arial"/>
          <w:highlight w:val="none"/>
        </w:rPr>
      </w:pPr>
    </w:p>
    <w:p>
      <w:pPr>
        <w:pStyle w:val="13"/>
        <w:rPr>
          <w:rFonts w:ascii="Arial"/>
          <w:highlight w:val="none"/>
        </w:rPr>
      </w:pPr>
    </w:p>
    <w:p>
      <w:pPr>
        <w:pStyle w:val="13"/>
        <w:rPr>
          <w:rFonts w:ascii="Arial"/>
          <w:highlight w:val="none"/>
        </w:rPr>
      </w:pPr>
    </w:p>
    <w:p>
      <w:pPr>
        <w:pStyle w:val="13"/>
        <w:rPr>
          <w:rFonts w:ascii="Arial"/>
          <w:highlight w:val="none"/>
        </w:rPr>
      </w:pPr>
    </w:p>
    <w:p>
      <w:pPr>
        <w:pStyle w:val="13"/>
        <w:rPr>
          <w:rFonts w:ascii="Arial"/>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1</w:t>
      </w:r>
      <w:r>
        <w:rPr>
          <w:rFonts w:eastAsia="Times New Roman"/>
          <w:spacing w:val="9"/>
          <w:sz w:val="29"/>
          <w:szCs w:val="29"/>
          <w:highlight w:val="none"/>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良好的商业信誉和健全的财务会计制度</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南昌红投置业有限公司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rPr>
          <w:rFonts w:ascii="Arial"/>
          <w:highlight w:val="none"/>
        </w:rPr>
      </w:pPr>
      <w:r>
        <w:rPr>
          <w:rFonts w:ascii="Arial"/>
          <w:highlight w:val="none"/>
        </w:rPr>
        <w:br w:type="page"/>
      </w:r>
    </w:p>
    <w:p>
      <w:pPr>
        <w:spacing w:before="94" w:line="224" w:lineRule="auto"/>
        <w:ind w:left="1556"/>
        <w:rPr>
          <w:rFonts w:eastAsia="Times New Roman"/>
          <w:b/>
          <w:bCs/>
          <w:spacing w:val="18"/>
          <w:sz w:val="29"/>
          <w:szCs w:val="29"/>
          <w:highlight w:val="none"/>
        </w:rPr>
      </w:pP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2</w:t>
      </w:r>
      <w:r>
        <w:rPr>
          <w:rFonts w:eastAsia="Times New Roman"/>
          <w:spacing w:val="9"/>
          <w:sz w:val="29"/>
          <w:szCs w:val="29"/>
          <w:highlight w:val="none"/>
        </w:rPr>
        <w:t xml:space="preserve"> </w:t>
      </w:r>
      <w:r>
        <w:rPr>
          <w:rFonts w:ascii="宋体" w:hAnsi="宋体" w:cs="宋体"/>
          <w:spacing w:val="9"/>
          <w:sz w:val="29"/>
          <w:szCs w:val="29"/>
          <w:highlight w:val="none"/>
        </w:rPr>
        <w:t>具有履行合同所必需的</w:t>
      </w:r>
      <w:r>
        <w:rPr>
          <w:rFonts w:hint="eastAsia" w:ascii="宋体" w:hAnsi="宋体" w:cs="宋体"/>
          <w:spacing w:val="9"/>
          <w:sz w:val="29"/>
          <w:szCs w:val="29"/>
          <w:highlight w:val="none"/>
          <w:lang w:eastAsia="zh-CN"/>
        </w:rPr>
        <w:t>设备</w:t>
      </w:r>
      <w:r>
        <w:rPr>
          <w:rFonts w:ascii="宋体" w:hAnsi="宋体" w:cs="宋体"/>
          <w:spacing w:val="9"/>
          <w:sz w:val="29"/>
          <w:szCs w:val="29"/>
          <w:highlight w:val="none"/>
        </w:rPr>
        <w:t>和专业技术能力承诺函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南昌红投置业有限公司</w:t>
      </w:r>
    </w:p>
    <w:p>
      <w:pPr>
        <w:spacing w:line="257" w:lineRule="auto"/>
        <w:rPr>
          <w:rFonts w:ascii="Arial"/>
          <w:highlight w:val="none"/>
        </w:rPr>
      </w:pPr>
    </w:p>
    <w:p>
      <w:pPr>
        <w:spacing w:line="257" w:lineRule="auto"/>
        <w:rPr>
          <w:rFonts w:ascii="Arial"/>
          <w:highlight w:val="none"/>
        </w:rPr>
      </w:pPr>
    </w:p>
    <w:p>
      <w:pPr>
        <w:spacing w:before="74" w:line="225" w:lineRule="auto"/>
        <w:ind w:left="642"/>
        <w:rPr>
          <w:rFonts w:ascii="宋体" w:hAnsi="宋体" w:cs="宋体"/>
          <w:sz w:val="23"/>
          <w:szCs w:val="23"/>
          <w:highlight w:val="none"/>
        </w:rPr>
      </w:pPr>
      <w:r>
        <w:rPr>
          <w:rFonts w:ascii="宋体" w:hAnsi="宋体" w:cs="宋体"/>
          <w:spacing w:val="12"/>
          <w:sz w:val="23"/>
          <w:szCs w:val="23"/>
          <w:highlight w:val="none"/>
        </w:rPr>
        <w:t>我</w:t>
      </w:r>
      <w:r>
        <w:rPr>
          <w:rFonts w:ascii="宋体" w:hAnsi="宋体" w:cs="宋体"/>
          <w:spacing w:val="9"/>
          <w:sz w:val="23"/>
          <w:szCs w:val="23"/>
          <w:highlight w:val="none"/>
        </w:rPr>
        <w:t>司具有履行本项目合同所必需的</w:t>
      </w:r>
      <w:r>
        <w:rPr>
          <w:rFonts w:hint="eastAsia" w:ascii="宋体" w:hAnsi="宋体" w:cs="宋体"/>
          <w:spacing w:val="9"/>
          <w:sz w:val="23"/>
          <w:szCs w:val="23"/>
          <w:highlight w:val="none"/>
          <w:lang w:eastAsia="zh-CN"/>
        </w:rPr>
        <w:t>设备</w:t>
      </w:r>
      <w:r>
        <w:rPr>
          <w:rFonts w:ascii="宋体" w:hAnsi="宋体" w:cs="宋体"/>
          <w:spacing w:val="9"/>
          <w:sz w:val="23"/>
          <w:szCs w:val="23"/>
          <w:highlight w:val="none"/>
        </w:rPr>
        <w:t>和专业技术能力。</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jc w:val="center"/>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3</w:t>
      </w:r>
      <w:r>
        <w:rPr>
          <w:rFonts w:hint="eastAsia"/>
          <w:b/>
          <w:bCs/>
          <w:spacing w:val="9"/>
          <w:sz w:val="29"/>
          <w:szCs w:val="29"/>
          <w:highlight w:val="none"/>
          <w:lang w:val="en-US" w:eastAsia="zh-CN"/>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依法缴纳税收和社会保障资金</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南昌红投置业有限公司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ascii="宋体" w:hAnsi="宋体" w:cs="宋体"/>
          <w:spacing w:val="11"/>
          <w:sz w:val="23"/>
          <w:szCs w:val="23"/>
          <w:highlight w:val="none"/>
        </w:rPr>
        <w:t>法</w:t>
      </w:r>
      <w:r>
        <w:rPr>
          <w:rFonts w:hint="eastAsia" w:ascii="宋体" w:hAnsi="宋体" w:cs="宋体"/>
          <w:spacing w:val="11"/>
          <w:sz w:val="23"/>
          <w:szCs w:val="23"/>
          <w:highlight w:val="none"/>
          <w:lang w:eastAsia="zh-CN"/>
        </w:rPr>
        <w:t>定</w:t>
      </w:r>
      <w:r>
        <w:rPr>
          <w:rFonts w:ascii="宋体" w:hAnsi="宋体" w:cs="宋体"/>
          <w:spacing w:val="8"/>
          <w:sz w:val="23"/>
          <w:szCs w:val="23"/>
          <w:highlight w:val="none"/>
        </w:rPr>
        <w:t>代表</w:t>
      </w:r>
      <w:r>
        <w:rPr>
          <w:rFonts w:hint="eastAsia" w:ascii="宋体" w:hAnsi="宋体" w:cs="宋体"/>
          <w:spacing w:val="8"/>
          <w:sz w:val="23"/>
          <w:szCs w:val="23"/>
          <w:highlight w:val="none"/>
        </w:rPr>
        <w:t>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spacing w:line="273" w:lineRule="auto"/>
        <w:rPr>
          <w:rFonts w:ascii="Arial"/>
          <w:highlight w:val="none"/>
        </w:rPr>
      </w:pPr>
    </w:p>
    <w:p>
      <w:pPr>
        <w:spacing w:line="273" w:lineRule="auto"/>
        <w:rPr>
          <w:rFonts w:ascii="Arial"/>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12"/>
        <w:rPr>
          <w:rFonts w:ascii="Arial"/>
          <w:sz w:val="21"/>
          <w:highlight w:val="none"/>
        </w:rPr>
      </w:pPr>
    </w:p>
    <w:p>
      <w:pPr>
        <w:pStyle w:val="13"/>
        <w:rPr>
          <w:rFonts w:ascii="Arial"/>
          <w:sz w:val="21"/>
          <w:highlight w:val="none"/>
        </w:rPr>
      </w:pPr>
    </w:p>
    <w:p>
      <w:pPr>
        <w:pStyle w:val="13"/>
        <w:rPr>
          <w:rFonts w:ascii="Arial"/>
          <w:sz w:val="21"/>
          <w:highlight w:val="none"/>
        </w:rPr>
      </w:pPr>
    </w:p>
    <w:p>
      <w:pPr>
        <w:pStyle w:val="13"/>
        <w:rPr>
          <w:rFonts w:ascii="Arial"/>
          <w:sz w:val="21"/>
          <w:highlight w:val="none"/>
        </w:rPr>
      </w:pPr>
    </w:p>
    <w:p>
      <w:pPr>
        <w:pStyle w:val="13"/>
        <w:rPr>
          <w:rFonts w:ascii="Arial"/>
          <w:sz w:val="21"/>
          <w:highlight w:val="none"/>
        </w:rPr>
      </w:pPr>
    </w:p>
    <w:p>
      <w:pPr>
        <w:pStyle w:val="23"/>
        <w:rPr>
          <w:rFonts w:ascii="Arial"/>
          <w:sz w:val="21"/>
          <w:highlight w:val="none"/>
        </w:rPr>
      </w:pPr>
    </w:p>
    <w:p>
      <w:pPr>
        <w:pStyle w:val="23"/>
        <w:rPr>
          <w:rFonts w:ascii="Arial"/>
          <w:sz w:val="21"/>
          <w:highlight w:val="none"/>
        </w:rPr>
      </w:pPr>
    </w:p>
    <w:p>
      <w:pPr>
        <w:spacing w:line="274" w:lineRule="auto"/>
        <w:rPr>
          <w:rFonts w:ascii="Arial"/>
          <w:highlight w:val="none"/>
        </w:rPr>
      </w:pPr>
    </w:p>
    <w:p>
      <w:pPr>
        <w:spacing w:before="94" w:line="226" w:lineRule="auto"/>
        <w:rPr>
          <w:rFonts w:eastAsia="Times New Roman"/>
          <w:b/>
          <w:bCs/>
          <w:spacing w:val="10"/>
          <w:sz w:val="29"/>
          <w:szCs w:val="29"/>
          <w:highlight w:val="none"/>
        </w:rPr>
      </w:pPr>
    </w:p>
    <w:p>
      <w:pPr>
        <w:spacing w:before="94" w:line="226" w:lineRule="auto"/>
        <w:rPr>
          <w:rFonts w:eastAsia="Times New Roman"/>
          <w:b/>
          <w:bCs/>
          <w:spacing w:val="10"/>
          <w:sz w:val="29"/>
          <w:szCs w:val="29"/>
          <w:highlight w:val="none"/>
        </w:rPr>
      </w:pPr>
    </w:p>
    <w:p>
      <w:pPr>
        <w:spacing w:before="94" w:line="226" w:lineRule="auto"/>
        <w:rPr>
          <w:rFonts w:ascii="宋体" w:hAnsi="宋体" w:cs="宋体"/>
          <w:sz w:val="29"/>
          <w:szCs w:val="29"/>
          <w:highlight w:val="none"/>
        </w:rPr>
      </w:pPr>
      <w:r>
        <w:rPr>
          <w:rFonts w:eastAsia="Times New Roman"/>
          <w:b/>
          <w:bCs/>
          <w:spacing w:val="10"/>
          <w:sz w:val="29"/>
          <w:szCs w:val="29"/>
          <w:highlight w:val="none"/>
        </w:rPr>
        <w:t>6-</w:t>
      </w:r>
      <w:r>
        <w:rPr>
          <w:rFonts w:hint="eastAsia"/>
          <w:b/>
          <w:bCs/>
          <w:spacing w:val="10"/>
          <w:sz w:val="29"/>
          <w:szCs w:val="29"/>
          <w:highlight w:val="none"/>
        </w:rPr>
        <w:t>4</w:t>
      </w:r>
      <w:r>
        <w:rPr>
          <w:rFonts w:eastAsia="Times New Roman"/>
          <w:spacing w:val="10"/>
          <w:sz w:val="29"/>
          <w:szCs w:val="29"/>
          <w:highlight w:val="none"/>
        </w:rPr>
        <w:t xml:space="preserve"> </w:t>
      </w:r>
      <w:r>
        <w:rPr>
          <w:rFonts w:ascii="宋体" w:hAnsi="宋体" w:cs="宋体"/>
          <w:spacing w:val="10"/>
          <w:sz w:val="29"/>
          <w:szCs w:val="29"/>
          <w:highlight w:val="none"/>
        </w:rPr>
        <w:t>参加比选活动前三年内，在经营活动中没有重大违法记录声明</w:t>
      </w:r>
      <w:r>
        <w:rPr>
          <w:rFonts w:ascii="宋体" w:hAnsi="宋体" w:cs="宋体"/>
          <w:spacing w:val="3"/>
          <w:sz w:val="29"/>
          <w:szCs w:val="29"/>
          <w:highlight w:val="none"/>
        </w:rPr>
        <w:t>函</w:t>
      </w:r>
    </w:p>
    <w:p>
      <w:pPr>
        <w:spacing w:line="244" w:lineRule="auto"/>
        <w:rPr>
          <w:rFonts w:ascii="Arial"/>
          <w:highlight w:val="none"/>
        </w:rPr>
      </w:pPr>
    </w:p>
    <w:p>
      <w:pPr>
        <w:spacing w:line="244" w:lineRule="auto"/>
        <w:rPr>
          <w:rFonts w:ascii="Arial"/>
          <w:highlight w:val="none"/>
        </w:rPr>
      </w:pPr>
    </w:p>
    <w:p>
      <w:pPr>
        <w:spacing w:before="75" w:line="227" w:lineRule="auto"/>
        <w:ind w:left="3201"/>
        <w:rPr>
          <w:rFonts w:ascii="宋体" w:hAnsi="宋体" w:cs="宋体"/>
          <w:sz w:val="23"/>
          <w:szCs w:val="23"/>
          <w:highlight w:val="none"/>
        </w:rPr>
      </w:pPr>
      <w:r>
        <w:rPr>
          <w:rFonts w:ascii="宋体" w:hAnsi="宋体" w:cs="宋体"/>
          <w:spacing w:val="14"/>
          <w:sz w:val="23"/>
          <w:szCs w:val="23"/>
          <w:highlight w:val="none"/>
        </w:rPr>
        <w:t>无</w:t>
      </w:r>
      <w:r>
        <w:rPr>
          <w:rFonts w:ascii="宋体" w:hAnsi="宋体" w:cs="宋体"/>
          <w:spacing w:val="8"/>
          <w:sz w:val="23"/>
          <w:szCs w:val="23"/>
          <w:highlight w:val="none"/>
        </w:rPr>
        <w:t>违法记录的声明函</w:t>
      </w:r>
    </w:p>
    <w:p>
      <w:pPr>
        <w:spacing w:line="402"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南昌红投置业有限公司</w:t>
      </w:r>
    </w:p>
    <w:p>
      <w:pPr>
        <w:spacing w:before="310" w:line="226" w:lineRule="auto"/>
        <w:ind w:left="421"/>
        <w:rPr>
          <w:rFonts w:ascii="宋体" w:hAnsi="宋体" w:cs="宋体"/>
          <w:sz w:val="23"/>
          <w:szCs w:val="23"/>
          <w:highlight w:val="none"/>
        </w:rPr>
      </w:pPr>
      <w:r>
        <w:rPr>
          <w:rFonts w:ascii="宋体" w:hAnsi="宋体" w:cs="宋体"/>
          <w:spacing w:val="15"/>
          <w:sz w:val="23"/>
          <w:szCs w:val="23"/>
          <w:highlight w:val="none"/>
        </w:rPr>
        <w:t>我</w:t>
      </w:r>
      <w:r>
        <w:rPr>
          <w:rFonts w:ascii="宋体" w:hAnsi="宋体" w:cs="宋体"/>
          <w:spacing w:val="9"/>
          <w:sz w:val="23"/>
          <w:szCs w:val="23"/>
          <w:highlight w:val="none"/>
        </w:rPr>
        <w:t>公司参加比选活动前三年内，在经营活动中无重大违法记录。</w:t>
      </w:r>
    </w:p>
    <w:p>
      <w:pPr>
        <w:spacing w:line="260" w:lineRule="auto"/>
        <w:rPr>
          <w:rFonts w:ascii="Arial"/>
          <w:highlight w:val="none"/>
        </w:rPr>
      </w:pPr>
    </w:p>
    <w:p>
      <w:pPr>
        <w:spacing w:line="261" w:lineRule="auto"/>
        <w:rPr>
          <w:rFonts w:ascii="Arial"/>
          <w:highlight w:val="none"/>
        </w:rPr>
      </w:pPr>
    </w:p>
    <w:p>
      <w:pPr>
        <w:spacing w:before="76" w:line="227" w:lineRule="auto"/>
        <w:ind w:left="319"/>
        <w:rPr>
          <w:rFonts w:ascii="宋体" w:hAnsi="宋体" w:cs="宋体"/>
          <w:sz w:val="23"/>
          <w:szCs w:val="23"/>
          <w:highlight w:val="none"/>
        </w:rPr>
      </w:pPr>
      <w:r>
        <w:rPr>
          <w:rFonts w:ascii="宋体" w:hAnsi="宋体" w:cs="宋体"/>
          <w:spacing w:val="6"/>
          <w:sz w:val="23"/>
          <w:szCs w:val="23"/>
          <w:highlight w:val="none"/>
        </w:rPr>
        <w:t>特此声明！</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75" w:line="227" w:lineRule="auto"/>
        <w:ind w:firstLine="4182" w:firstLineChars="1700"/>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before="195" w:line="391" w:lineRule="auto"/>
        <w:ind w:right="1797" w:firstLine="4080" w:firstLineChars="1700"/>
        <w:rPr>
          <w:rFonts w:ascii="宋体" w:hAnsi="宋体" w:cs="宋体"/>
          <w:sz w:val="23"/>
          <w:szCs w:val="23"/>
          <w:highlight w:val="none"/>
        </w:rPr>
      </w:pPr>
      <w:r>
        <w:rPr>
          <w:rFonts w:hint="eastAsia" w:ascii="宋体" w:hAnsi="宋体" w:cs="宋体"/>
          <w:spacing w:val="5"/>
          <w:sz w:val="23"/>
          <w:szCs w:val="23"/>
          <w:highlight w:val="none"/>
        </w:rPr>
        <w:t>法定代表人</w:t>
      </w:r>
      <w:r>
        <w:rPr>
          <w:rFonts w:ascii="宋体" w:hAnsi="宋体" w:cs="宋体"/>
          <w:spacing w:val="4"/>
          <w:sz w:val="23"/>
          <w:szCs w:val="23"/>
          <w:highlight w:val="none"/>
        </w:rPr>
        <w:t>或</w:t>
      </w:r>
      <w:r>
        <w:rPr>
          <w:rFonts w:hint="eastAsia" w:ascii="宋体" w:hAnsi="宋体" w:cs="宋体"/>
          <w:spacing w:val="4"/>
          <w:sz w:val="23"/>
          <w:szCs w:val="23"/>
          <w:highlight w:val="none"/>
        </w:rPr>
        <w:t>委托代理人</w:t>
      </w:r>
      <w:r>
        <w:rPr>
          <w:rFonts w:ascii="宋体" w:hAnsi="宋体" w:cs="宋体"/>
          <w:spacing w:val="4"/>
          <w:sz w:val="23"/>
          <w:szCs w:val="23"/>
          <w:highlight w:val="none"/>
        </w:rPr>
        <w:t>签字：</w:t>
      </w:r>
      <w:r>
        <w:rPr>
          <w:rFonts w:ascii="宋体" w:hAnsi="宋体" w:cs="宋体"/>
          <w:sz w:val="23"/>
          <w:szCs w:val="23"/>
          <w:highlight w:val="none"/>
        </w:rPr>
        <w:t xml:space="preserve"> </w:t>
      </w:r>
    </w:p>
    <w:p>
      <w:pPr>
        <w:spacing w:before="195" w:line="391" w:lineRule="auto"/>
        <w:ind w:right="1797" w:firstLine="4104" w:firstLineChars="180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sectPr>
          <w:footerReference r:id="rId15" w:type="default"/>
          <w:pgSz w:w="11906" w:h="16839"/>
          <w:pgMar w:top="400" w:right="1499" w:bottom="1125" w:left="858"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7</w:t>
      </w:r>
      <w:r>
        <w:rPr>
          <w:rFonts w:eastAsia="Times New Roman"/>
          <w:spacing w:val="6"/>
          <w:sz w:val="29"/>
          <w:szCs w:val="29"/>
          <w:highlight w:val="none"/>
        </w:rPr>
        <w:t xml:space="preserve"> </w:t>
      </w:r>
      <w:r>
        <w:rPr>
          <w:rFonts w:ascii="宋体" w:hAnsi="宋体" w:cs="宋体"/>
          <w:spacing w:val="3"/>
          <w:sz w:val="29"/>
          <w:szCs w:val="29"/>
          <w:highlight w:val="none"/>
        </w:rPr>
        <w:t>、商务响应、偏离说明表</w:t>
      </w:r>
    </w:p>
    <w:p>
      <w:pPr>
        <w:spacing w:line="301" w:lineRule="auto"/>
        <w:rPr>
          <w:rFonts w:ascii="Arial"/>
          <w:highlight w:val="none"/>
        </w:rPr>
      </w:pPr>
    </w:p>
    <w:p>
      <w:pPr>
        <w:spacing w:line="301" w:lineRule="auto"/>
        <w:rPr>
          <w:rFonts w:ascii="Arial"/>
          <w:highlight w:val="none"/>
        </w:rPr>
      </w:pPr>
    </w:p>
    <w:p>
      <w:pPr>
        <w:spacing w:line="301" w:lineRule="auto"/>
        <w:rPr>
          <w:rFonts w:ascii="Arial"/>
          <w:highlight w:val="none"/>
        </w:rPr>
      </w:pPr>
    </w:p>
    <w:p>
      <w:pPr>
        <w:spacing w:before="65" w:line="228" w:lineRule="auto"/>
        <w:ind w:firstLine="214" w:firstLineChars="100"/>
        <w:rPr>
          <w:rFonts w:ascii="宋体" w:hAnsi="宋体" w:cs="宋体"/>
          <w:sz w:val="20"/>
          <w:szCs w:val="20"/>
          <w:highlight w:val="none"/>
        </w:rPr>
      </w:pPr>
      <w:r>
        <w:rPr>
          <w:rFonts w:hint="eastAsia" w:ascii="宋体" w:hAnsi="宋体" w:cs="宋体"/>
          <w:spacing w:val="-13"/>
          <w:sz w:val="24"/>
          <w:szCs w:val="24"/>
          <w:highlight w:val="none"/>
          <w:lang w:eastAsia="zh-CN"/>
        </w:rPr>
        <w:t>项目</w:t>
      </w:r>
      <w:r>
        <w:rPr>
          <w:rFonts w:ascii="宋体" w:hAnsi="宋体" w:cs="宋体"/>
          <w:spacing w:val="-13"/>
          <w:sz w:val="24"/>
          <w:szCs w:val="24"/>
          <w:highlight w:val="none"/>
        </w:rPr>
        <w:t>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5"/>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39" w:type="dxa"/>
            <w:noWrap w:val="0"/>
            <w:vAlign w:val="top"/>
          </w:tcPr>
          <w:p>
            <w:pPr>
              <w:spacing w:before="197" w:line="229" w:lineRule="auto"/>
              <w:ind w:left="364"/>
              <w:rPr>
                <w:rFonts w:ascii="宋体" w:hAnsi="宋体" w:cs="宋体"/>
                <w:sz w:val="20"/>
                <w:szCs w:val="20"/>
                <w:highlight w:val="none"/>
              </w:rPr>
            </w:pPr>
            <w:r>
              <w:rPr>
                <w:rFonts w:ascii="宋体" w:hAnsi="宋体" w:cs="宋体"/>
                <w:spacing w:val="5"/>
                <w:sz w:val="20"/>
                <w:szCs w:val="20"/>
                <w:highlight w:val="none"/>
              </w:rPr>
              <w:t>序号</w:t>
            </w:r>
          </w:p>
        </w:tc>
        <w:tc>
          <w:tcPr>
            <w:tcW w:w="1653" w:type="dxa"/>
            <w:noWrap w:val="0"/>
            <w:vAlign w:val="top"/>
          </w:tcPr>
          <w:p>
            <w:pPr>
              <w:spacing w:before="196" w:line="228" w:lineRule="auto"/>
              <w:ind w:left="415"/>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2417" w:type="dxa"/>
            <w:noWrap w:val="0"/>
            <w:vAlign w:val="top"/>
          </w:tcPr>
          <w:p>
            <w:pPr>
              <w:spacing w:before="196" w:line="228" w:lineRule="auto"/>
              <w:ind w:left="60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3" w:line="193" w:lineRule="auto"/>
              <w:ind w:left="539"/>
              <w:rPr>
                <w:rFonts w:ascii="宋体" w:hAnsi="宋体" w:cs="宋体"/>
                <w:sz w:val="20"/>
                <w:szCs w:val="20"/>
                <w:highlight w:val="none"/>
              </w:rPr>
            </w:pPr>
            <w:r>
              <w:rPr>
                <w:rFonts w:ascii="宋体" w:hAnsi="宋体" w:cs="宋体"/>
                <w:sz w:val="20"/>
                <w:szCs w:val="20"/>
                <w:highlight w:val="none"/>
              </w:rPr>
              <w:t>1</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4" w:line="192" w:lineRule="auto"/>
              <w:ind w:left="526"/>
              <w:rPr>
                <w:rFonts w:ascii="宋体" w:hAnsi="宋体" w:cs="宋体"/>
                <w:sz w:val="20"/>
                <w:szCs w:val="20"/>
                <w:highlight w:val="none"/>
              </w:rPr>
            </w:pPr>
            <w:r>
              <w:rPr>
                <w:rFonts w:ascii="宋体" w:hAnsi="宋体" w:cs="宋体"/>
                <w:sz w:val="20"/>
                <w:szCs w:val="20"/>
                <w:highlight w:val="none"/>
              </w:rPr>
              <w:t>2</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7" w:line="190" w:lineRule="auto"/>
              <w:ind w:left="527"/>
              <w:rPr>
                <w:rFonts w:ascii="宋体" w:hAnsi="宋体" w:cs="宋体"/>
                <w:sz w:val="20"/>
                <w:szCs w:val="20"/>
                <w:highlight w:val="none"/>
              </w:rPr>
            </w:pPr>
            <w:r>
              <w:rPr>
                <w:rFonts w:ascii="宋体" w:hAnsi="宋体" w:cs="宋体"/>
                <w:sz w:val="20"/>
                <w:szCs w:val="20"/>
                <w:highlight w:val="none"/>
              </w:rPr>
              <w:t>3</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：参选单位提交的参选文件中与比选文件的商务部分的要求有不同时，应逐条列在偏离表中；与比选文件的其他</w:t>
      </w:r>
      <w:r>
        <w:rPr>
          <w:rFonts w:ascii="宋体" w:hAnsi="宋体" w:cs="宋体"/>
          <w:spacing w:val="7"/>
          <w:sz w:val="20"/>
          <w:szCs w:val="20"/>
          <w:highlight w:val="none"/>
        </w:rPr>
        <w:t>商务部分的要求无不同时，须在表中标明“无偏离” ，并将认为参选单位接受比选文件的要求。</w:t>
      </w:r>
    </w:p>
    <w:p>
      <w:pPr>
        <w:spacing w:line="264"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before="65" w:line="226" w:lineRule="auto"/>
        <w:ind w:left="127"/>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u w:val="single"/>
          <w:lang w:val="en-US" w:eastAsia="zh-CN"/>
        </w:rPr>
        <w:t xml:space="preserve"> </w:t>
      </w:r>
      <w:r>
        <w:rPr>
          <w:rFonts w:hint="eastAsia" w:ascii="宋体" w:hAnsi="宋体" w:cs="宋体"/>
          <w:spacing w:val="1"/>
          <w:sz w:val="20"/>
          <w:szCs w:val="20"/>
          <w:highlight w:val="none"/>
          <w:u w:val="none"/>
        </w:rPr>
        <w:t>委托代理人</w:t>
      </w:r>
      <w:r>
        <w:rPr>
          <w:rFonts w:ascii="宋体" w:hAnsi="宋体" w:cs="宋体"/>
          <w:spacing w:val="1"/>
          <w:sz w:val="20"/>
          <w:szCs w:val="20"/>
          <w:highlight w:val="none"/>
          <w:u w:val="none"/>
        </w:rPr>
        <w:t>签</w:t>
      </w:r>
      <w:r>
        <w:rPr>
          <w:rFonts w:ascii="宋体" w:hAnsi="宋体" w:cs="宋体"/>
          <w:spacing w:val="1"/>
          <w:sz w:val="20"/>
          <w:szCs w:val="20"/>
          <w:highlight w:val="none"/>
        </w:rPr>
        <w:t>字：</w:t>
      </w:r>
      <w:r>
        <w:rPr>
          <w:rFonts w:ascii="宋体" w:hAnsi="宋体" w:cs="宋体"/>
          <w:sz w:val="20"/>
          <w:szCs w:val="20"/>
          <w:highlight w:val="none"/>
          <w:u w:val="single"/>
        </w:rPr>
        <w:t xml:space="preserve">                         </w:t>
      </w:r>
    </w:p>
    <w:p>
      <w:pPr>
        <w:rPr>
          <w:highlight w:val="none"/>
        </w:rPr>
        <w:sectPr>
          <w:footerReference r:id="rId16" w:type="default"/>
          <w:pgSz w:w="11906" w:h="16839"/>
          <w:pgMar w:top="400" w:right="851" w:bottom="1125" w:left="731"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8</w:t>
      </w:r>
      <w:r>
        <w:rPr>
          <w:rFonts w:eastAsia="Times New Roman"/>
          <w:spacing w:val="6"/>
          <w:sz w:val="29"/>
          <w:szCs w:val="29"/>
          <w:highlight w:val="none"/>
        </w:rPr>
        <w:t xml:space="preserve"> </w:t>
      </w:r>
      <w:r>
        <w:rPr>
          <w:rFonts w:ascii="宋体" w:hAnsi="宋体" w:cs="宋体"/>
          <w:spacing w:val="3"/>
          <w:sz w:val="29"/>
          <w:szCs w:val="29"/>
          <w:highlight w:val="none"/>
        </w:rPr>
        <w:t>、技术响应、偏离说明表</w:t>
      </w:r>
    </w:p>
    <w:p>
      <w:pPr>
        <w:spacing w:line="270" w:lineRule="auto"/>
        <w:rPr>
          <w:rFonts w:ascii="Arial"/>
          <w:highlight w:val="none"/>
        </w:rPr>
      </w:pPr>
    </w:p>
    <w:p>
      <w:pPr>
        <w:spacing w:before="65" w:line="228" w:lineRule="auto"/>
        <w:ind w:firstLine="412" w:firstLineChars="200"/>
        <w:rPr>
          <w:rFonts w:ascii="宋体" w:hAnsi="宋体" w:cs="宋体"/>
          <w:sz w:val="20"/>
          <w:szCs w:val="20"/>
          <w:highlight w:val="none"/>
        </w:rPr>
      </w:pPr>
      <w:r>
        <w:rPr>
          <w:rFonts w:hint="eastAsia" w:ascii="宋体" w:hAnsi="宋体" w:cs="宋体"/>
          <w:spacing w:val="-17"/>
          <w:sz w:val="24"/>
          <w:szCs w:val="24"/>
          <w:highlight w:val="none"/>
        </w:rPr>
        <w:t>项目编号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5"/>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7" w:type="dxa"/>
            <w:noWrap w:val="0"/>
            <w:vAlign w:val="top"/>
          </w:tcPr>
          <w:p>
            <w:pPr>
              <w:spacing w:before="197" w:line="229" w:lineRule="auto"/>
              <w:ind w:left="203"/>
              <w:rPr>
                <w:rFonts w:ascii="宋体" w:hAnsi="宋体" w:cs="宋体"/>
                <w:sz w:val="20"/>
                <w:szCs w:val="20"/>
                <w:highlight w:val="none"/>
              </w:rPr>
            </w:pPr>
            <w:r>
              <w:rPr>
                <w:rFonts w:ascii="宋体" w:hAnsi="宋体" w:cs="宋体"/>
                <w:spacing w:val="5"/>
                <w:sz w:val="20"/>
                <w:szCs w:val="20"/>
                <w:highlight w:val="none"/>
              </w:rPr>
              <w:t>序号</w:t>
            </w:r>
          </w:p>
        </w:tc>
        <w:tc>
          <w:tcPr>
            <w:tcW w:w="2519" w:type="dxa"/>
            <w:noWrap w:val="0"/>
            <w:vAlign w:val="top"/>
          </w:tcPr>
          <w:p>
            <w:pPr>
              <w:spacing w:before="196" w:line="228" w:lineRule="auto"/>
              <w:ind w:left="847"/>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1873" w:type="dxa"/>
            <w:noWrap w:val="0"/>
            <w:vAlign w:val="top"/>
          </w:tcPr>
          <w:p>
            <w:pPr>
              <w:spacing w:before="196" w:line="228" w:lineRule="auto"/>
              <w:ind w:left="33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3" w:line="193" w:lineRule="auto"/>
              <w:ind w:left="378"/>
              <w:rPr>
                <w:rFonts w:ascii="宋体" w:hAnsi="宋体" w:cs="宋体"/>
                <w:sz w:val="20"/>
                <w:szCs w:val="20"/>
                <w:highlight w:val="none"/>
              </w:rPr>
            </w:pPr>
            <w:r>
              <w:rPr>
                <w:rFonts w:ascii="宋体" w:hAnsi="宋体" w:cs="宋体"/>
                <w:sz w:val="20"/>
                <w:szCs w:val="20"/>
                <w:highlight w:val="none"/>
              </w:rPr>
              <w:t>1</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4" w:line="192" w:lineRule="auto"/>
              <w:ind w:left="365"/>
              <w:rPr>
                <w:rFonts w:ascii="宋体" w:hAnsi="宋体" w:cs="宋体"/>
                <w:sz w:val="20"/>
                <w:szCs w:val="20"/>
                <w:highlight w:val="none"/>
              </w:rPr>
            </w:pPr>
            <w:r>
              <w:rPr>
                <w:rFonts w:ascii="宋体" w:hAnsi="宋体" w:cs="宋体"/>
                <w:sz w:val="20"/>
                <w:szCs w:val="20"/>
                <w:highlight w:val="none"/>
              </w:rPr>
              <w:t>2</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7" w:line="190" w:lineRule="auto"/>
              <w:ind w:left="367"/>
              <w:rPr>
                <w:rFonts w:ascii="宋体" w:hAnsi="宋体" w:cs="宋体"/>
                <w:sz w:val="20"/>
                <w:szCs w:val="20"/>
                <w:highlight w:val="none"/>
              </w:rPr>
            </w:pPr>
            <w:r>
              <w:rPr>
                <w:rFonts w:ascii="宋体" w:hAnsi="宋体" w:cs="宋体"/>
                <w:sz w:val="20"/>
                <w:szCs w:val="20"/>
                <w:highlight w:val="none"/>
              </w:rPr>
              <w:t>3</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71" w:lineRule="auto"/>
        <w:rPr>
          <w:rFonts w:ascii="Arial"/>
          <w:highlight w:val="none"/>
        </w:rPr>
      </w:pPr>
    </w:p>
    <w:p>
      <w:pPr>
        <w:spacing w:line="272" w:lineRule="auto"/>
        <w:rPr>
          <w:rFonts w:ascii="Arial"/>
          <w:highlight w:val="none"/>
        </w:rPr>
      </w:pPr>
    </w:p>
    <w:p>
      <w:pPr>
        <w:spacing w:line="272"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：参选单位提交的参选文件中与比选文件的技术部分的要求有不同时，应逐条列在偏离表中；与比选文件的其他</w:t>
      </w:r>
      <w:r>
        <w:rPr>
          <w:rFonts w:ascii="宋体" w:hAnsi="宋体" w:cs="宋体"/>
          <w:spacing w:val="7"/>
          <w:sz w:val="20"/>
          <w:szCs w:val="20"/>
          <w:highlight w:val="none"/>
        </w:rPr>
        <w:t>技术部分的要求无不同时，须在表中标明“无偏离” ，并将认为参选单位接受比选文件的要求。</w:t>
      </w: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before="65" w:line="226" w:lineRule="auto"/>
        <w:ind w:left="233"/>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rPr>
        <w:t>委托代理人</w:t>
      </w:r>
      <w:r>
        <w:rPr>
          <w:rFonts w:ascii="宋体" w:hAnsi="宋体" w:cs="宋体"/>
          <w:spacing w:val="1"/>
          <w:sz w:val="20"/>
          <w:szCs w:val="20"/>
          <w:highlight w:val="none"/>
        </w:rPr>
        <w:t>签字：</w:t>
      </w:r>
      <w:r>
        <w:rPr>
          <w:rFonts w:ascii="宋体" w:hAnsi="宋体" w:cs="宋体"/>
          <w:sz w:val="20"/>
          <w:szCs w:val="20"/>
          <w:highlight w:val="none"/>
          <w:u w:val="single"/>
        </w:rPr>
        <w:t xml:space="preserve">                         </w:t>
      </w:r>
    </w:p>
    <w:p>
      <w:pPr>
        <w:rPr>
          <w:highlight w:val="none"/>
        </w:rPr>
        <w:sectPr>
          <w:footerReference r:id="rId17" w:type="default"/>
          <w:pgSz w:w="11906" w:h="16839"/>
          <w:pgMar w:top="400" w:right="851" w:bottom="1125" w:left="731" w:header="0" w:footer="965" w:gutter="0"/>
          <w:pgNumType w:fmt="decimal"/>
          <w:cols w:space="720" w:num="1"/>
        </w:sectPr>
      </w:pPr>
    </w:p>
    <w:p>
      <w:pPr>
        <w:spacing w:before="94" w:line="226" w:lineRule="auto"/>
        <w:ind w:left="2867"/>
        <w:rPr>
          <w:rFonts w:ascii="宋体" w:hAnsi="宋体" w:cs="宋体"/>
          <w:spacing w:val="9"/>
          <w:sz w:val="29"/>
          <w:szCs w:val="29"/>
          <w:highlight w:val="none"/>
        </w:rPr>
      </w:pPr>
    </w:p>
    <w:p>
      <w:pPr>
        <w:spacing w:before="94" w:line="226" w:lineRule="auto"/>
        <w:ind w:left="2867"/>
        <w:rPr>
          <w:rFonts w:ascii="宋体" w:hAnsi="宋体" w:cs="宋体"/>
          <w:sz w:val="29"/>
          <w:szCs w:val="29"/>
          <w:highlight w:val="none"/>
        </w:rPr>
      </w:pPr>
      <w:r>
        <w:rPr>
          <w:rFonts w:ascii="宋体" w:hAnsi="宋体" w:cs="宋体"/>
          <w:spacing w:val="9"/>
          <w:sz w:val="29"/>
          <w:szCs w:val="29"/>
          <w:highlight w:val="none"/>
        </w:rPr>
        <w:t>9、参选单位企业概</w:t>
      </w:r>
      <w:r>
        <w:rPr>
          <w:rFonts w:ascii="宋体" w:hAnsi="宋体" w:cs="宋体"/>
          <w:spacing w:val="7"/>
          <w:sz w:val="29"/>
          <w:szCs w:val="29"/>
          <w:highlight w:val="none"/>
        </w:rPr>
        <w:t>况</w:t>
      </w:r>
    </w:p>
    <w:p>
      <w:pPr>
        <w:spacing w:line="21" w:lineRule="exact"/>
        <w:rPr>
          <w:highlight w:val="none"/>
        </w:rPr>
      </w:pPr>
    </w:p>
    <w:tbl>
      <w:tblPr>
        <w:tblStyle w:val="25"/>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37" w:type="dxa"/>
            <w:noWrap w:val="0"/>
            <w:vAlign w:val="top"/>
          </w:tcPr>
          <w:p>
            <w:pPr>
              <w:spacing w:before="292" w:line="228" w:lineRule="auto"/>
              <w:ind w:left="257"/>
              <w:rPr>
                <w:rFonts w:ascii="宋体" w:hAnsi="宋体" w:cs="宋体"/>
                <w:sz w:val="23"/>
                <w:szCs w:val="23"/>
                <w:highlight w:val="none"/>
              </w:rPr>
            </w:pPr>
            <w:r>
              <w:rPr>
                <w:rFonts w:ascii="宋体" w:hAnsi="宋体" w:cs="宋体"/>
                <w:spacing w:val="8"/>
                <w:sz w:val="23"/>
                <w:szCs w:val="23"/>
                <w:highlight w:val="none"/>
              </w:rPr>
              <w:t>单位注册名称</w:t>
            </w:r>
          </w:p>
        </w:tc>
        <w:tc>
          <w:tcPr>
            <w:tcW w:w="3514" w:type="dxa"/>
            <w:gridSpan w:val="2"/>
            <w:noWrap w:val="0"/>
            <w:vAlign w:val="top"/>
          </w:tcPr>
          <w:p>
            <w:pPr>
              <w:rPr>
                <w:rFonts w:ascii="Arial"/>
                <w:highlight w:val="none"/>
              </w:rPr>
            </w:pPr>
          </w:p>
        </w:tc>
        <w:tc>
          <w:tcPr>
            <w:tcW w:w="1333" w:type="dxa"/>
            <w:noWrap w:val="0"/>
            <w:vAlign w:val="top"/>
          </w:tcPr>
          <w:p>
            <w:pPr>
              <w:spacing w:before="292" w:line="228" w:lineRule="auto"/>
              <w:ind w:left="197"/>
              <w:rPr>
                <w:rFonts w:ascii="宋体" w:hAnsi="宋体" w:cs="宋体"/>
                <w:sz w:val="23"/>
                <w:szCs w:val="23"/>
                <w:highlight w:val="none"/>
              </w:rPr>
            </w:pPr>
            <w:r>
              <w:rPr>
                <w:rFonts w:ascii="宋体" w:hAnsi="宋体" w:cs="宋体"/>
                <w:spacing w:val="7"/>
                <w:sz w:val="23"/>
                <w:szCs w:val="23"/>
                <w:highlight w:val="none"/>
              </w:rPr>
              <w:t>建立日</w:t>
            </w:r>
            <w:r>
              <w:rPr>
                <w:rFonts w:ascii="宋体" w:hAnsi="宋体" w:cs="宋体"/>
                <w:spacing w:val="6"/>
                <w:sz w:val="23"/>
                <w:szCs w:val="23"/>
                <w:highlight w:val="none"/>
              </w:rPr>
              <w:t>期</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50" w:line="226" w:lineRule="auto"/>
              <w:ind w:left="257"/>
              <w:rPr>
                <w:rFonts w:ascii="宋体" w:hAnsi="宋体" w:cs="宋体"/>
                <w:sz w:val="23"/>
                <w:szCs w:val="23"/>
                <w:highlight w:val="none"/>
              </w:rPr>
            </w:pPr>
            <w:r>
              <w:rPr>
                <w:rFonts w:ascii="宋体" w:hAnsi="宋体" w:cs="宋体"/>
                <w:spacing w:val="8"/>
                <w:sz w:val="23"/>
                <w:szCs w:val="23"/>
                <w:highlight w:val="none"/>
              </w:rPr>
              <w:t>单位法人代表</w:t>
            </w:r>
          </w:p>
        </w:tc>
        <w:tc>
          <w:tcPr>
            <w:tcW w:w="3514" w:type="dxa"/>
            <w:gridSpan w:val="2"/>
            <w:noWrap w:val="0"/>
            <w:vAlign w:val="top"/>
          </w:tcPr>
          <w:p>
            <w:pPr>
              <w:rPr>
                <w:rFonts w:ascii="Arial"/>
                <w:highlight w:val="none"/>
              </w:rPr>
            </w:pPr>
          </w:p>
        </w:tc>
        <w:tc>
          <w:tcPr>
            <w:tcW w:w="1333" w:type="dxa"/>
            <w:noWrap w:val="0"/>
            <w:vAlign w:val="top"/>
          </w:tcPr>
          <w:p>
            <w:pPr>
              <w:spacing w:before="150" w:line="228" w:lineRule="auto"/>
              <w:ind w:left="197"/>
              <w:rPr>
                <w:rFonts w:ascii="宋体" w:hAnsi="宋体" w:cs="宋体"/>
                <w:sz w:val="23"/>
                <w:szCs w:val="23"/>
                <w:highlight w:val="none"/>
              </w:rPr>
            </w:pPr>
            <w:r>
              <w:rPr>
                <w:rFonts w:ascii="宋体" w:hAnsi="宋体" w:cs="宋体"/>
                <w:spacing w:val="7"/>
                <w:sz w:val="23"/>
                <w:szCs w:val="23"/>
                <w:highlight w:val="none"/>
              </w:rPr>
              <w:t>单位性质</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49" w:line="226"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单位资质等级</w:t>
            </w:r>
            <w:r>
              <w:rPr>
                <w:rFonts w:hint="eastAsia" w:ascii="宋体" w:hAnsi="宋体" w:cs="宋体"/>
                <w:spacing w:val="8"/>
                <w:sz w:val="23"/>
                <w:szCs w:val="23"/>
                <w:highlight w:val="none"/>
                <w:lang w:eastAsia="zh-CN"/>
              </w:rPr>
              <w:t>（如有）</w:t>
            </w:r>
          </w:p>
        </w:tc>
        <w:tc>
          <w:tcPr>
            <w:tcW w:w="1603" w:type="dxa"/>
            <w:noWrap w:val="0"/>
            <w:vAlign w:val="top"/>
          </w:tcPr>
          <w:p>
            <w:pPr>
              <w:rPr>
                <w:rFonts w:ascii="Arial"/>
                <w:highlight w:val="none"/>
              </w:rPr>
            </w:pPr>
          </w:p>
        </w:tc>
        <w:tc>
          <w:tcPr>
            <w:tcW w:w="1911" w:type="dxa"/>
            <w:noWrap w:val="0"/>
            <w:vAlign w:val="top"/>
          </w:tcPr>
          <w:p>
            <w:pPr>
              <w:spacing w:before="149" w:line="226" w:lineRule="auto"/>
              <w:ind w:left="285"/>
              <w:rPr>
                <w:rFonts w:ascii="宋体" w:hAnsi="宋体" w:cs="宋体"/>
                <w:sz w:val="23"/>
                <w:szCs w:val="23"/>
                <w:highlight w:val="none"/>
              </w:rPr>
            </w:pPr>
            <w:r>
              <w:rPr>
                <w:rFonts w:ascii="宋体" w:hAnsi="宋体" w:cs="宋体"/>
                <w:spacing w:val="11"/>
                <w:sz w:val="23"/>
                <w:szCs w:val="23"/>
                <w:highlight w:val="none"/>
              </w:rPr>
              <w:t>获</w:t>
            </w:r>
            <w:r>
              <w:rPr>
                <w:rFonts w:ascii="宋体" w:hAnsi="宋体" w:cs="宋体"/>
                <w:spacing w:val="7"/>
                <w:sz w:val="23"/>
                <w:szCs w:val="23"/>
                <w:highlight w:val="none"/>
              </w:rPr>
              <w:t>得资质时间</w:t>
            </w:r>
          </w:p>
        </w:tc>
        <w:tc>
          <w:tcPr>
            <w:tcW w:w="3111" w:type="dxa"/>
            <w:gridSpan w:val="2"/>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noWrap w:val="0"/>
            <w:vAlign w:val="top"/>
          </w:tcPr>
          <w:p>
            <w:pPr>
              <w:spacing w:before="149" w:line="227"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上级主管部门</w:t>
            </w:r>
            <w:r>
              <w:rPr>
                <w:rFonts w:hint="eastAsia" w:ascii="宋体" w:hAnsi="宋体" w:cs="宋体"/>
                <w:spacing w:val="8"/>
                <w:sz w:val="23"/>
                <w:szCs w:val="23"/>
                <w:highlight w:val="none"/>
                <w:lang w:eastAsia="zh-CN"/>
              </w:rPr>
              <w:t>（如有）</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37" w:type="dxa"/>
            <w:noWrap w:val="0"/>
            <w:vAlign w:val="top"/>
          </w:tcPr>
          <w:p>
            <w:pPr>
              <w:spacing w:before="150" w:line="227" w:lineRule="auto"/>
              <w:ind w:left="254"/>
              <w:rPr>
                <w:rFonts w:ascii="宋体" w:hAnsi="宋体" w:cs="宋体"/>
                <w:sz w:val="23"/>
                <w:szCs w:val="23"/>
                <w:highlight w:val="none"/>
              </w:rPr>
            </w:pPr>
            <w:r>
              <w:rPr>
                <w:rFonts w:ascii="宋体" w:hAnsi="宋体" w:cs="宋体"/>
                <w:spacing w:val="11"/>
                <w:sz w:val="23"/>
                <w:szCs w:val="23"/>
                <w:highlight w:val="none"/>
              </w:rPr>
              <w:t>批</w:t>
            </w:r>
            <w:r>
              <w:rPr>
                <w:rFonts w:ascii="宋体" w:hAnsi="宋体" w:cs="宋体"/>
                <w:spacing w:val="8"/>
                <w:sz w:val="23"/>
                <w:szCs w:val="23"/>
                <w:highlight w:val="none"/>
              </w:rPr>
              <w:t>准成立机构</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1937" w:type="dxa"/>
            <w:noWrap w:val="0"/>
            <w:vAlign w:val="top"/>
          </w:tcPr>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1" w:lineRule="auto"/>
              <w:rPr>
                <w:rFonts w:ascii="Arial"/>
                <w:highlight w:val="none"/>
              </w:rPr>
            </w:pPr>
          </w:p>
          <w:p>
            <w:pPr>
              <w:spacing w:before="75" w:line="228" w:lineRule="auto"/>
              <w:ind w:left="504"/>
              <w:rPr>
                <w:rFonts w:ascii="宋体" w:hAnsi="宋体" w:cs="宋体"/>
                <w:sz w:val="23"/>
                <w:szCs w:val="23"/>
                <w:highlight w:val="none"/>
              </w:rPr>
            </w:pPr>
            <w:r>
              <w:rPr>
                <w:rFonts w:hint="eastAsia" w:ascii="宋体" w:hAnsi="宋体" w:cs="宋体"/>
                <w:spacing w:val="6"/>
                <w:sz w:val="23"/>
                <w:szCs w:val="23"/>
                <w:highlight w:val="none"/>
                <w:lang w:eastAsia="zh-CN"/>
              </w:rPr>
              <w:t>经营</w:t>
            </w:r>
            <w:r>
              <w:rPr>
                <w:rFonts w:ascii="宋体" w:hAnsi="宋体" w:cs="宋体"/>
                <w:spacing w:val="5"/>
                <w:sz w:val="23"/>
                <w:szCs w:val="23"/>
                <w:highlight w:val="none"/>
              </w:rPr>
              <w:t>范围</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1937" w:type="dxa"/>
            <w:noWrap w:val="0"/>
            <w:vAlign w:val="top"/>
          </w:tcPr>
          <w:p>
            <w:pPr>
              <w:spacing w:line="257"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before="75" w:line="227" w:lineRule="auto"/>
              <w:ind w:left="497"/>
              <w:rPr>
                <w:rFonts w:hint="eastAsia" w:ascii="宋体" w:hAnsi="宋体" w:eastAsia="宋体" w:cs="宋体"/>
                <w:sz w:val="23"/>
                <w:szCs w:val="23"/>
                <w:highlight w:val="none"/>
                <w:lang w:eastAsia="zh-CN"/>
              </w:rPr>
            </w:pPr>
            <w:r>
              <w:rPr>
                <w:rFonts w:ascii="宋体" w:hAnsi="宋体" w:cs="宋体"/>
                <w:spacing w:val="7"/>
                <w:sz w:val="23"/>
                <w:szCs w:val="23"/>
                <w:highlight w:val="none"/>
              </w:rPr>
              <w:t>单位简</w:t>
            </w:r>
            <w:r>
              <w:rPr>
                <w:rFonts w:hint="eastAsia" w:ascii="宋体" w:hAnsi="宋体" w:cs="宋体"/>
                <w:spacing w:val="7"/>
                <w:sz w:val="23"/>
                <w:szCs w:val="23"/>
                <w:highlight w:val="none"/>
                <w:lang w:eastAsia="zh-CN"/>
              </w:rPr>
              <w:t>介</w:t>
            </w:r>
          </w:p>
        </w:tc>
        <w:tc>
          <w:tcPr>
            <w:tcW w:w="6625" w:type="dxa"/>
            <w:gridSpan w:val="4"/>
            <w:noWrap w:val="0"/>
            <w:vAlign w:val="top"/>
          </w:tcPr>
          <w:p>
            <w:pPr>
              <w:rPr>
                <w:rFonts w:ascii="Arial"/>
                <w:highlight w:val="none"/>
              </w:rPr>
            </w:pPr>
          </w:p>
        </w:tc>
      </w:tr>
    </w:tbl>
    <w:p>
      <w:pPr>
        <w:rPr>
          <w:rFonts w:ascii="Arial"/>
          <w:highlight w:val="none"/>
        </w:rPr>
      </w:pPr>
    </w:p>
    <w:p>
      <w:pPr>
        <w:rPr>
          <w:highlight w:val="none"/>
        </w:rPr>
        <w:sectPr>
          <w:footerReference r:id="rId18" w:type="default"/>
          <w:pgSz w:w="11906" w:h="16839"/>
          <w:pgMar w:top="400" w:right="1669" w:bottom="1125" w:left="1669" w:header="0" w:footer="965" w:gutter="0"/>
          <w:pgNumType w:fmt="decimal"/>
          <w:cols w:space="720" w:num="1"/>
        </w:sectPr>
      </w:pPr>
    </w:p>
    <w:p>
      <w:pPr>
        <w:pStyle w:val="12"/>
        <w:rPr>
          <w:highlight w:val="none"/>
          <w:lang w:val="en-US" w:eastAsia="zh-CN"/>
        </w:rPr>
      </w:pPr>
    </w:p>
    <w:p>
      <w:pPr>
        <w:spacing w:line="284" w:lineRule="auto"/>
        <w:rPr>
          <w:rFonts w:ascii="Arial"/>
          <w:highlight w:val="none"/>
        </w:rPr>
      </w:pPr>
    </w:p>
    <w:p>
      <w:pPr>
        <w:spacing w:before="95" w:line="238" w:lineRule="auto"/>
        <w:jc w:val="center"/>
        <w:rPr>
          <w:rFonts w:ascii="宋体" w:hAnsi="宋体" w:cs="宋体"/>
          <w:sz w:val="29"/>
          <w:szCs w:val="29"/>
          <w:highlight w:val="none"/>
        </w:rPr>
      </w:pPr>
      <w:r>
        <w:rPr>
          <w:rFonts w:hint="eastAsia" w:ascii="宋体" w:hAnsi="宋体" w:cs="宋体"/>
          <w:b/>
          <w:sz w:val="30"/>
          <w:highlight w:val="none"/>
        </w:rPr>
        <w:t>1</w:t>
      </w:r>
      <w:r>
        <w:rPr>
          <w:rFonts w:hint="eastAsia" w:ascii="宋体" w:hAnsi="宋体" w:cs="宋体"/>
          <w:b/>
          <w:sz w:val="30"/>
          <w:highlight w:val="none"/>
          <w:lang w:val="en-US" w:eastAsia="zh-CN"/>
        </w:rPr>
        <w:t>0</w:t>
      </w:r>
      <w:r>
        <w:rPr>
          <w:rFonts w:hint="eastAsia" w:ascii="宋体" w:hAnsi="宋体" w:cs="宋体"/>
          <w:b/>
          <w:sz w:val="30"/>
          <w:highlight w:val="none"/>
        </w:rPr>
        <w:t>、参选人认为需要提供的其他材料</w:t>
      </w:r>
    </w:p>
    <w:p>
      <w:pPr>
        <w:spacing w:line="600" w:lineRule="exact"/>
        <w:jc w:val="center"/>
        <w:rPr>
          <w:rFonts w:ascii="宋体" w:hAnsi="宋体" w:cs="宋体"/>
          <w:spacing w:val="-3"/>
          <w:sz w:val="44"/>
          <w:szCs w:val="44"/>
          <w:highlight w:val="none"/>
        </w:rPr>
      </w:pPr>
    </w:p>
    <w:p>
      <w:pPr>
        <w:jc w:val="center"/>
        <w:rPr>
          <w:rFonts w:ascii="宋体" w:hAnsi="宋体" w:cs="宋体"/>
          <w:sz w:val="29"/>
          <w:szCs w:val="29"/>
          <w:highlight w:val="none"/>
        </w:rPr>
      </w:pPr>
    </w:p>
    <w:p>
      <w:pPr>
        <w:spacing w:line="600" w:lineRule="exact"/>
        <w:jc w:val="center"/>
        <w:rPr>
          <w:rFonts w:ascii="宋体" w:hAnsi="宋体" w:cs="宋体"/>
          <w:spacing w:val="-3"/>
          <w:sz w:val="44"/>
          <w:szCs w:val="44"/>
          <w:highlight w:val="none"/>
        </w:rPr>
      </w:pPr>
    </w:p>
    <w:sectPr>
      <w:headerReference r:id="rId19" w:type="default"/>
      <w:footerReference r:id="rId20"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130124A-2100-48D6-84FC-925E6061B63E}"/>
  </w:font>
  <w:font w:name="黑体">
    <w:panose1 w:val="02010609060101010101"/>
    <w:charset w:val="86"/>
    <w:family w:val="auto"/>
    <w:pitch w:val="default"/>
    <w:sig w:usb0="800002BF" w:usb1="38CF7CFA" w:usb2="00000016" w:usb3="00000000" w:csb0="00040001" w:csb1="00000000"/>
    <w:embedRegular r:id="rId2" w:fontKey="{A64B14A2-1AB0-462A-BEB5-E9271442E8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A524AFB-D655-422C-BEA2-9BCA3ABC5F52}"/>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embedRegular r:id="rId4" w:fontKey="{6D5C933E-2D49-4CE8-834D-5664A62CCB40}"/>
  </w:font>
  <w:font w:name="新宋体">
    <w:panose1 w:val="02010609030101010101"/>
    <w:charset w:val="86"/>
    <w:family w:val="modern"/>
    <w:pitch w:val="default"/>
    <w:sig w:usb0="00000003" w:usb1="288F0000" w:usb2="00000006" w:usb3="00000000" w:csb0="00040001" w:csb1="00000000"/>
    <w:embedRegular r:id="rId5" w:fontKey="{1FBA527B-0344-4E04-B545-7A49A28E5B71}"/>
  </w:font>
  <w:font w:name="微软雅黑">
    <w:panose1 w:val="020B0503020204020204"/>
    <w:charset w:val="86"/>
    <w:family w:val="auto"/>
    <w:pitch w:val="default"/>
    <w:sig w:usb0="80000287" w:usb1="280F3C52" w:usb2="00000016" w:usb3="00000000" w:csb0="0004001F" w:csb1="00000000"/>
    <w:embedRegular r:id="rId6" w:fontKey="{EB48F5C5-0431-4CAD-A7D8-39E91B4EFFCF}"/>
  </w:font>
  <w:font w:name="仿宋_GB2312">
    <w:panose1 w:val="02010609030101010101"/>
    <w:charset w:val="86"/>
    <w:family w:val="modern"/>
    <w:pitch w:val="default"/>
    <w:sig w:usb0="00000001" w:usb1="080E0000" w:usb2="00000000" w:usb3="00000000" w:csb0="00040000" w:csb1="00000000"/>
    <w:embedRegular r:id="rId7" w:fontKey="{05D9C422-DDD3-4AA3-9491-62E70B63EBA0}"/>
  </w:font>
  <w:font w:name="等线">
    <w:panose1 w:val="02010600030101010101"/>
    <w:charset w:val="86"/>
    <w:family w:val="auto"/>
    <w:pitch w:val="default"/>
    <w:sig w:usb0="A00002BF" w:usb1="38CF7CFA" w:usb2="00000016" w:usb3="00000000" w:csb0="0004000F" w:csb1="00000000"/>
    <w:embedRegular r:id="rId8" w:fontKey="{76BFDF88-596A-4621-856E-BDED8452247A}"/>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S9UKs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7"/>
      <w:rPr>
        <w:rFonts w:eastAsia="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cOHVi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liR13gEAAMA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Pi1t8BAADAAwAADgAAAGRycy9lMm9Eb2MueG1srVPNjtMwEL4j8Q6W&#10;7zRph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7Pi1t8BAADA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6"/>
      <w:rPr>
        <w:rFonts w:eastAsia="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3lXfN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k8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3lXfN8BAADA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0">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utN8t8BAADA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ZLFKN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8"/>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hwgt8BAAC/AwAADgAAAGRycy9lMm9Eb2MueG1srVPBjtMwEL0j8Q+W&#10;7zTZSqy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6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Vhwgt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yxxa9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pqDN8BAAC/AwAADgAAAGRycy9lMm9Eb2MueG1srVPBjtMwEL0j8Q+W&#10;7zTZCi1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X/OmROWBn7+/u3849f551d2&#10;/SL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MpqDN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2"/>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0wiOt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3"/>
      <w:rPr>
        <w:rFonts w:eastAsia="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4aXkN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6"/>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70B55D8"/>
    <w:multiLevelType w:val="singleLevel"/>
    <w:tmpl w:val="570B55D8"/>
    <w:lvl w:ilvl="0" w:tentative="0">
      <w:start w:val="7"/>
      <w:numFmt w:val="chineseCounting"/>
      <w:suff w:val="nothing"/>
      <w:lvlText w:val="%1、"/>
      <w:lvlJc w:val="left"/>
    </w:lvl>
  </w:abstractNum>
  <w:abstractNum w:abstractNumId="2">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WNhMzNmZDUzYjAyZmM1ZWU4OTMxNzA3ZTlhMGYifQ=="/>
    <w:docVar w:name="KSO_WPS_MARK_KEY" w:val="8e5e287d-3706-4611-b348-d69edaf82b81"/>
  </w:docVars>
  <w:rsids>
    <w:rsidRoot w:val="17D46344"/>
    <w:rsid w:val="00005A84"/>
    <w:rsid w:val="00007915"/>
    <w:rsid w:val="00013168"/>
    <w:rsid w:val="000132A2"/>
    <w:rsid w:val="00023198"/>
    <w:rsid w:val="00041965"/>
    <w:rsid w:val="00046071"/>
    <w:rsid w:val="00053AB0"/>
    <w:rsid w:val="00054576"/>
    <w:rsid w:val="00057142"/>
    <w:rsid w:val="00057450"/>
    <w:rsid w:val="00061155"/>
    <w:rsid w:val="00061D4A"/>
    <w:rsid w:val="0006772A"/>
    <w:rsid w:val="00072FD4"/>
    <w:rsid w:val="0008279F"/>
    <w:rsid w:val="000831C4"/>
    <w:rsid w:val="00090BE0"/>
    <w:rsid w:val="000939EF"/>
    <w:rsid w:val="000A68FB"/>
    <w:rsid w:val="000B1E7B"/>
    <w:rsid w:val="000B67CB"/>
    <w:rsid w:val="000C0F7E"/>
    <w:rsid w:val="000C3D38"/>
    <w:rsid w:val="000C53CB"/>
    <w:rsid w:val="000D26D7"/>
    <w:rsid w:val="000E451C"/>
    <w:rsid w:val="000E489C"/>
    <w:rsid w:val="000E6650"/>
    <w:rsid w:val="000E6BD9"/>
    <w:rsid w:val="000F21FC"/>
    <w:rsid w:val="000F4B27"/>
    <w:rsid w:val="0011029F"/>
    <w:rsid w:val="00120BAF"/>
    <w:rsid w:val="00124237"/>
    <w:rsid w:val="00124512"/>
    <w:rsid w:val="001348D3"/>
    <w:rsid w:val="00145310"/>
    <w:rsid w:val="0015059F"/>
    <w:rsid w:val="001526FD"/>
    <w:rsid w:val="00153DE4"/>
    <w:rsid w:val="001925D7"/>
    <w:rsid w:val="001A2A1A"/>
    <w:rsid w:val="001B20CA"/>
    <w:rsid w:val="001B4745"/>
    <w:rsid w:val="001C75F2"/>
    <w:rsid w:val="001E44CB"/>
    <w:rsid w:val="001E75A2"/>
    <w:rsid w:val="001F076A"/>
    <w:rsid w:val="001F219D"/>
    <w:rsid w:val="001F7D0B"/>
    <w:rsid w:val="002028C8"/>
    <w:rsid w:val="00204628"/>
    <w:rsid w:val="00206951"/>
    <w:rsid w:val="00210239"/>
    <w:rsid w:val="00216E2A"/>
    <w:rsid w:val="0022163A"/>
    <w:rsid w:val="002250D8"/>
    <w:rsid w:val="002254B0"/>
    <w:rsid w:val="002307B3"/>
    <w:rsid w:val="00232ECB"/>
    <w:rsid w:val="002334A7"/>
    <w:rsid w:val="002378EF"/>
    <w:rsid w:val="002448C7"/>
    <w:rsid w:val="00245EE2"/>
    <w:rsid w:val="00267B74"/>
    <w:rsid w:val="00274E26"/>
    <w:rsid w:val="00280A07"/>
    <w:rsid w:val="0029098C"/>
    <w:rsid w:val="00295F3A"/>
    <w:rsid w:val="00297AED"/>
    <w:rsid w:val="002A6482"/>
    <w:rsid w:val="002A7E0A"/>
    <w:rsid w:val="002B384B"/>
    <w:rsid w:val="002B702C"/>
    <w:rsid w:val="002B7B45"/>
    <w:rsid w:val="002C1909"/>
    <w:rsid w:val="002D2393"/>
    <w:rsid w:val="002E0467"/>
    <w:rsid w:val="002F4142"/>
    <w:rsid w:val="002F6AC6"/>
    <w:rsid w:val="003100A3"/>
    <w:rsid w:val="00320830"/>
    <w:rsid w:val="003227F7"/>
    <w:rsid w:val="0033074B"/>
    <w:rsid w:val="00343ECD"/>
    <w:rsid w:val="00344FCB"/>
    <w:rsid w:val="0035120F"/>
    <w:rsid w:val="00360D60"/>
    <w:rsid w:val="003626EE"/>
    <w:rsid w:val="00366253"/>
    <w:rsid w:val="00367FC0"/>
    <w:rsid w:val="0037384F"/>
    <w:rsid w:val="00394D4D"/>
    <w:rsid w:val="003950AC"/>
    <w:rsid w:val="003A4FF0"/>
    <w:rsid w:val="003A7F00"/>
    <w:rsid w:val="003B078C"/>
    <w:rsid w:val="003B131C"/>
    <w:rsid w:val="003C1F96"/>
    <w:rsid w:val="003C698C"/>
    <w:rsid w:val="003D4C92"/>
    <w:rsid w:val="003E0BC6"/>
    <w:rsid w:val="003E41D9"/>
    <w:rsid w:val="003E5473"/>
    <w:rsid w:val="003F144A"/>
    <w:rsid w:val="003F3EFF"/>
    <w:rsid w:val="003F7D75"/>
    <w:rsid w:val="004102C4"/>
    <w:rsid w:val="004143A2"/>
    <w:rsid w:val="00432B86"/>
    <w:rsid w:val="0043579C"/>
    <w:rsid w:val="00437B7D"/>
    <w:rsid w:val="0044098B"/>
    <w:rsid w:val="00442C13"/>
    <w:rsid w:val="00444636"/>
    <w:rsid w:val="00447121"/>
    <w:rsid w:val="00450409"/>
    <w:rsid w:val="00451443"/>
    <w:rsid w:val="004534AE"/>
    <w:rsid w:val="00454AEF"/>
    <w:rsid w:val="00473F30"/>
    <w:rsid w:val="00481F3C"/>
    <w:rsid w:val="00483FF5"/>
    <w:rsid w:val="004874DF"/>
    <w:rsid w:val="004A0418"/>
    <w:rsid w:val="004A3841"/>
    <w:rsid w:val="004A69F4"/>
    <w:rsid w:val="004A741F"/>
    <w:rsid w:val="004B1180"/>
    <w:rsid w:val="004B150E"/>
    <w:rsid w:val="004B4FD1"/>
    <w:rsid w:val="004B57F8"/>
    <w:rsid w:val="004C1FDC"/>
    <w:rsid w:val="004C3FD3"/>
    <w:rsid w:val="004D4696"/>
    <w:rsid w:val="004D4E72"/>
    <w:rsid w:val="004D587C"/>
    <w:rsid w:val="004E336F"/>
    <w:rsid w:val="004F3F15"/>
    <w:rsid w:val="004F4ECB"/>
    <w:rsid w:val="00501A58"/>
    <w:rsid w:val="00503778"/>
    <w:rsid w:val="005052FC"/>
    <w:rsid w:val="0050758E"/>
    <w:rsid w:val="00533429"/>
    <w:rsid w:val="00536197"/>
    <w:rsid w:val="005418D4"/>
    <w:rsid w:val="00557FD2"/>
    <w:rsid w:val="005642E1"/>
    <w:rsid w:val="00566FBC"/>
    <w:rsid w:val="00567AA8"/>
    <w:rsid w:val="0057141E"/>
    <w:rsid w:val="005838C4"/>
    <w:rsid w:val="005B48CF"/>
    <w:rsid w:val="005C06A2"/>
    <w:rsid w:val="005C2A7C"/>
    <w:rsid w:val="005C6A06"/>
    <w:rsid w:val="005C6FA5"/>
    <w:rsid w:val="005C7C51"/>
    <w:rsid w:val="005D662D"/>
    <w:rsid w:val="005E0FD8"/>
    <w:rsid w:val="005E400E"/>
    <w:rsid w:val="005F690E"/>
    <w:rsid w:val="00604040"/>
    <w:rsid w:val="0061544C"/>
    <w:rsid w:val="006157D4"/>
    <w:rsid w:val="00636698"/>
    <w:rsid w:val="006427C2"/>
    <w:rsid w:val="00643989"/>
    <w:rsid w:val="006619D8"/>
    <w:rsid w:val="006721CC"/>
    <w:rsid w:val="0067655E"/>
    <w:rsid w:val="006779B9"/>
    <w:rsid w:val="0068485F"/>
    <w:rsid w:val="00687645"/>
    <w:rsid w:val="006959D4"/>
    <w:rsid w:val="00697052"/>
    <w:rsid w:val="00697290"/>
    <w:rsid w:val="006976BB"/>
    <w:rsid w:val="006A0A65"/>
    <w:rsid w:val="006A4195"/>
    <w:rsid w:val="006B1626"/>
    <w:rsid w:val="006B50B9"/>
    <w:rsid w:val="006C254D"/>
    <w:rsid w:val="006C7278"/>
    <w:rsid w:val="006F3708"/>
    <w:rsid w:val="006F66A9"/>
    <w:rsid w:val="00710E63"/>
    <w:rsid w:val="00711B57"/>
    <w:rsid w:val="00713DF6"/>
    <w:rsid w:val="00717F5A"/>
    <w:rsid w:val="00733AE5"/>
    <w:rsid w:val="00735422"/>
    <w:rsid w:val="00741EB2"/>
    <w:rsid w:val="0074264C"/>
    <w:rsid w:val="00743D50"/>
    <w:rsid w:val="00753159"/>
    <w:rsid w:val="00753BC2"/>
    <w:rsid w:val="00757ECC"/>
    <w:rsid w:val="00766413"/>
    <w:rsid w:val="00786B8D"/>
    <w:rsid w:val="00793445"/>
    <w:rsid w:val="007B5F79"/>
    <w:rsid w:val="007C44D9"/>
    <w:rsid w:val="007C62D2"/>
    <w:rsid w:val="007E29CC"/>
    <w:rsid w:val="007E3BCE"/>
    <w:rsid w:val="00806AE3"/>
    <w:rsid w:val="00807842"/>
    <w:rsid w:val="00811143"/>
    <w:rsid w:val="008113AA"/>
    <w:rsid w:val="008142A2"/>
    <w:rsid w:val="008236A3"/>
    <w:rsid w:val="008242F1"/>
    <w:rsid w:val="00837AD5"/>
    <w:rsid w:val="00840D7B"/>
    <w:rsid w:val="008468C0"/>
    <w:rsid w:val="00847599"/>
    <w:rsid w:val="00851D51"/>
    <w:rsid w:val="00852055"/>
    <w:rsid w:val="0085744E"/>
    <w:rsid w:val="00857E40"/>
    <w:rsid w:val="0086098A"/>
    <w:rsid w:val="0086123A"/>
    <w:rsid w:val="00863E29"/>
    <w:rsid w:val="0086469C"/>
    <w:rsid w:val="0087168D"/>
    <w:rsid w:val="00872A94"/>
    <w:rsid w:val="00882980"/>
    <w:rsid w:val="0088310C"/>
    <w:rsid w:val="008A2C6E"/>
    <w:rsid w:val="008A63BB"/>
    <w:rsid w:val="008B14E7"/>
    <w:rsid w:val="008B1557"/>
    <w:rsid w:val="008B156E"/>
    <w:rsid w:val="008B3134"/>
    <w:rsid w:val="008B4F54"/>
    <w:rsid w:val="008B6E85"/>
    <w:rsid w:val="008C0410"/>
    <w:rsid w:val="008D28D8"/>
    <w:rsid w:val="008E28BD"/>
    <w:rsid w:val="008E530A"/>
    <w:rsid w:val="008F3489"/>
    <w:rsid w:val="00902262"/>
    <w:rsid w:val="00907F31"/>
    <w:rsid w:val="00910A7E"/>
    <w:rsid w:val="0091321B"/>
    <w:rsid w:val="009150EF"/>
    <w:rsid w:val="009157C7"/>
    <w:rsid w:val="00926FD4"/>
    <w:rsid w:val="00935B75"/>
    <w:rsid w:val="00953148"/>
    <w:rsid w:val="00972768"/>
    <w:rsid w:val="009777F5"/>
    <w:rsid w:val="00984210"/>
    <w:rsid w:val="00984905"/>
    <w:rsid w:val="009A16C1"/>
    <w:rsid w:val="009A2204"/>
    <w:rsid w:val="009A300D"/>
    <w:rsid w:val="009A6650"/>
    <w:rsid w:val="009B35E8"/>
    <w:rsid w:val="009D0756"/>
    <w:rsid w:val="009D494E"/>
    <w:rsid w:val="009D7C7D"/>
    <w:rsid w:val="009E2AB3"/>
    <w:rsid w:val="009E587F"/>
    <w:rsid w:val="00A02219"/>
    <w:rsid w:val="00A0447F"/>
    <w:rsid w:val="00A14D5F"/>
    <w:rsid w:val="00A21F24"/>
    <w:rsid w:val="00A233E1"/>
    <w:rsid w:val="00A265E3"/>
    <w:rsid w:val="00A32562"/>
    <w:rsid w:val="00A435A3"/>
    <w:rsid w:val="00A4666F"/>
    <w:rsid w:val="00A524EA"/>
    <w:rsid w:val="00A5635A"/>
    <w:rsid w:val="00A57C9A"/>
    <w:rsid w:val="00A604A3"/>
    <w:rsid w:val="00A66619"/>
    <w:rsid w:val="00A76761"/>
    <w:rsid w:val="00A86835"/>
    <w:rsid w:val="00A86D64"/>
    <w:rsid w:val="00A93A4D"/>
    <w:rsid w:val="00A95E0A"/>
    <w:rsid w:val="00AB3D27"/>
    <w:rsid w:val="00AB56BE"/>
    <w:rsid w:val="00AD2731"/>
    <w:rsid w:val="00AE7358"/>
    <w:rsid w:val="00AF5B74"/>
    <w:rsid w:val="00AF6AD8"/>
    <w:rsid w:val="00B00B9E"/>
    <w:rsid w:val="00B024A0"/>
    <w:rsid w:val="00B12D3E"/>
    <w:rsid w:val="00B12F21"/>
    <w:rsid w:val="00B13D31"/>
    <w:rsid w:val="00B16614"/>
    <w:rsid w:val="00B215C0"/>
    <w:rsid w:val="00B25084"/>
    <w:rsid w:val="00B25AE7"/>
    <w:rsid w:val="00B51F91"/>
    <w:rsid w:val="00B54E25"/>
    <w:rsid w:val="00B643DE"/>
    <w:rsid w:val="00B81624"/>
    <w:rsid w:val="00B81981"/>
    <w:rsid w:val="00B85130"/>
    <w:rsid w:val="00B856F1"/>
    <w:rsid w:val="00B85A05"/>
    <w:rsid w:val="00B875E2"/>
    <w:rsid w:val="00BA2212"/>
    <w:rsid w:val="00BA6349"/>
    <w:rsid w:val="00BB7D95"/>
    <w:rsid w:val="00BC19A3"/>
    <w:rsid w:val="00BE34F2"/>
    <w:rsid w:val="00BE762A"/>
    <w:rsid w:val="00BF0771"/>
    <w:rsid w:val="00BF6AA3"/>
    <w:rsid w:val="00C14EE1"/>
    <w:rsid w:val="00C17520"/>
    <w:rsid w:val="00C252FE"/>
    <w:rsid w:val="00C25A89"/>
    <w:rsid w:val="00C30033"/>
    <w:rsid w:val="00C320ED"/>
    <w:rsid w:val="00C32E1C"/>
    <w:rsid w:val="00C33FE3"/>
    <w:rsid w:val="00C36E8E"/>
    <w:rsid w:val="00C37949"/>
    <w:rsid w:val="00C5110A"/>
    <w:rsid w:val="00C53442"/>
    <w:rsid w:val="00C610BE"/>
    <w:rsid w:val="00C644C5"/>
    <w:rsid w:val="00C66DFE"/>
    <w:rsid w:val="00C73CF5"/>
    <w:rsid w:val="00C7465C"/>
    <w:rsid w:val="00C816EB"/>
    <w:rsid w:val="00C84643"/>
    <w:rsid w:val="00C94CF9"/>
    <w:rsid w:val="00C95DC4"/>
    <w:rsid w:val="00CA55C2"/>
    <w:rsid w:val="00CB1255"/>
    <w:rsid w:val="00CB39F2"/>
    <w:rsid w:val="00CC26EC"/>
    <w:rsid w:val="00CD60E7"/>
    <w:rsid w:val="00CE12A8"/>
    <w:rsid w:val="00CE2300"/>
    <w:rsid w:val="00CF2205"/>
    <w:rsid w:val="00CF60A9"/>
    <w:rsid w:val="00D019E3"/>
    <w:rsid w:val="00D04415"/>
    <w:rsid w:val="00D10AF5"/>
    <w:rsid w:val="00D17182"/>
    <w:rsid w:val="00D262CB"/>
    <w:rsid w:val="00D340EF"/>
    <w:rsid w:val="00D4054E"/>
    <w:rsid w:val="00D6177E"/>
    <w:rsid w:val="00D65B6B"/>
    <w:rsid w:val="00D81693"/>
    <w:rsid w:val="00D91755"/>
    <w:rsid w:val="00D96FF4"/>
    <w:rsid w:val="00DA0533"/>
    <w:rsid w:val="00DB153D"/>
    <w:rsid w:val="00DC540A"/>
    <w:rsid w:val="00DD26D1"/>
    <w:rsid w:val="00DF74C1"/>
    <w:rsid w:val="00E04055"/>
    <w:rsid w:val="00E05364"/>
    <w:rsid w:val="00E11BF6"/>
    <w:rsid w:val="00E12500"/>
    <w:rsid w:val="00E17AE5"/>
    <w:rsid w:val="00E24161"/>
    <w:rsid w:val="00E26078"/>
    <w:rsid w:val="00E275BA"/>
    <w:rsid w:val="00E3440D"/>
    <w:rsid w:val="00E378AA"/>
    <w:rsid w:val="00E401A2"/>
    <w:rsid w:val="00E40835"/>
    <w:rsid w:val="00E44CC3"/>
    <w:rsid w:val="00E46C20"/>
    <w:rsid w:val="00E567C8"/>
    <w:rsid w:val="00E620F5"/>
    <w:rsid w:val="00E65EBB"/>
    <w:rsid w:val="00E66723"/>
    <w:rsid w:val="00E71427"/>
    <w:rsid w:val="00E71651"/>
    <w:rsid w:val="00E71C44"/>
    <w:rsid w:val="00E75A3B"/>
    <w:rsid w:val="00E85F07"/>
    <w:rsid w:val="00E8618C"/>
    <w:rsid w:val="00E90F90"/>
    <w:rsid w:val="00EA25C4"/>
    <w:rsid w:val="00EB21CD"/>
    <w:rsid w:val="00EB43BA"/>
    <w:rsid w:val="00EC18D4"/>
    <w:rsid w:val="00EC385D"/>
    <w:rsid w:val="00EC3FC6"/>
    <w:rsid w:val="00EC4266"/>
    <w:rsid w:val="00EC6F8E"/>
    <w:rsid w:val="00ED1D15"/>
    <w:rsid w:val="00EE47A7"/>
    <w:rsid w:val="00EE4A8C"/>
    <w:rsid w:val="00EF07EC"/>
    <w:rsid w:val="00EF324B"/>
    <w:rsid w:val="00EF36B3"/>
    <w:rsid w:val="00EF67B6"/>
    <w:rsid w:val="00F02548"/>
    <w:rsid w:val="00F02F0A"/>
    <w:rsid w:val="00F14CD2"/>
    <w:rsid w:val="00F31F76"/>
    <w:rsid w:val="00F374CC"/>
    <w:rsid w:val="00F414BF"/>
    <w:rsid w:val="00F45BF3"/>
    <w:rsid w:val="00F468E6"/>
    <w:rsid w:val="00F5223B"/>
    <w:rsid w:val="00F61DAD"/>
    <w:rsid w:val="00F62801"/>
    <w:rsid w:val="00F726B1"/>
    <w:rsid w:val="00F84DD1"/>
    <w:rsid w:val="00F941AE"/>
    <w:rsid w:val="00FA5542"/>
    <w:rsid w:val="00FA5643"/>
    <w:rsid w:val="00FA64DC"/>
    <w:rsid w:val="00FB20D6"/>
    <w:rsid w:val="00FC0D62"/>
    <w:rsid w:val="00FD4DAB"/>
    <w:rsid w:val="00FF3043"/>
    <w:rsid w:val="00FF75F0"/>
    <w:rsid w:val="010954FC"/>
    <w:rsid w:val="010B1842"/>
    <w:rsid w:val="01A71FD9"/>
    <w:rsid w:val="01C268D7"/>
    <w:rsid w:val="024E7E34"/>
    <w:rsid w:val="026E4641"/>
    <w:rsid w:val="02961AC4"/>
    <w:rsid w:val="02B32C00"/>
    <w:rsid w:val="03124228"/>
    <w:rsid w:val="0344455C"/>
    <w:rsid w:val="03AB5A37"/>
    <w:rsid w:val="03C43031"/>
    <w:rsid w:val="03C926DB"/>
    <w:rsid w:val="03D15ABC"/>
    <w:rsid w:val="03F87849"/>
    <w:rsid w:val="041C69A4"/>
    <w:rsid w:val="041D6D75"/>
    <w:rsid w:val="04380079"/>
    <w:rsid w:val="04C35E11"/>
    <w:rsid w:val="04E92477"/>
    <w:rsid w:val="05286DF6"/>
    <w:rsid w:val="056E043F"/>
    <w:rsid w:val="057C5441"/>
    <w:rsid w:val="05962755"/>
    <w:rsid w:val="05B1320D"/>
    <w:rsid w:val="05BB0CE0"/>
    <w:rsid w:val="05D309F4"/>
    <w:rsid w:val="05DB04A3"/>
    <w:rsid w:val="0616478A"/>
    <w:rsid w:val="063F6C84"/>
    <w:rsid w:val="06524C0E"/>
    <w:rsid w:val="065D35AE"/>
    <w:rsid w:val="066F1ED1"/>
    <w:rsid w:val="06AC78B6"/>
    <w:rsid w:val="06AD5647"/>
    <w:rsid w:val="06BE6425"/>
    <w:rsid w:val="06BF609C"/>
    <w:rsid w:val="07064F2D"/>
    <w:rsid w:val="071A0584"/>
    <w:rsid w:val="076C56D4"/>
    <w:rsid w:val="078A2E29"/>
    <w:rsid w:val="07CF2716"/>
    <w:rsid w:val="07D459E5"/>
    <w:rsid w:val="07DC63DC"/>
    <w:rsid w:val="083841B9"/>
    <w:rsid w:val="084F136C"/>
    <w:rsid w:val="087F0D02"/>
    <w:rsid w:val="08AE3149"/>
    <w:rsid w:val="08B7029F"/>
    <w:rsid w:val="08B91166"/>
    <w:rsid w:val="08F14E86"/>
    <w:rsid w:val="094840A2"/>
    <w:rsid w:val="09D41E2C"/>
    <w:rsid w:val="09FF67ED"/>
    <w:rsid w:val="0A685934"/>
    <w:rsid w:val="0AA75373"/>
    <w:rsid w:val="0AF73FD4"/>
    <w:rsid w:val="0B560A80"/>
    <w:rsid w:val="0B7218AA"/>
    <w:rsid w:val="0BBA5F4B"/>
    <w:rsid w:val="0BDE4F88"/>
    <w:rsid w:val="0C762CD4"/>
    <w:rsid w:val="0C86753C"/>
    <w:rsid w:val="0C8E2713"/>
    <w:rsid w:val="0C9D1D39"/>
    <w:rsid w:val="0CB96085"/>
    <w:rsid w:val="0CCC0884"/>
    <w:rsid w:val="0D8670BE"/>
    <w:rsid w:val="0D8D6983"/>
    <w:rsid w:val="0E0C3E24"/>
    <w:rsid w:val="0E6869AA"/>
    <w:rsid w:val="0ED34CF7"/>
    <w:rsid w:val="0EEC7BA6"/>
    <w:rsid w:val="0F7D0676"/>
    <w:rsid w:val="0F8C0A60"/>
    <w:rsid w:val="0F9D2E2C"/>
    <w:rsid w:val="10116031"/>
    <w:rsid w:val="104904CB"/>
    <w:rsid w:val="108F5B02"/>
    <w:rsid w:val="117B33B0"/>
    <w:rsid w:val="11DA17B3"/>
    <w:rsid w:val="12BD1987"/>
    <w:rsid w:val="12D325AD"/>
    <w:rsid w:val="13231533"/>
    <w:rsid w:val="132A7356"/>
    <w:rsid w:val="134D4EC2"/>
    <w:rsid w:val="13571FB3"/>
    <w:rsid w:val="13634840"/>
    <w:rsid w:val="137F010F"/>
    <w:rsid w:val="13A36D90"/>
    <w:rsid w:val="13C7475D"/>
    <w:rsid w:val="13CE5AEB"/>
    <w:rsid w:val="142851FC"/>
    <w:rsid w:val="14C3448E"/>
    <w:rsid w:val="14CB3D60"/>
    <w:rsid w:val="14E56E23"/>
    <w:rsid w:val="154370C3"/>
    <w:rsid w:val="15745AC0"/>
    <w:rsid w:val="157502AF"/>
    <w:rsid w:val="158005E4"/>
    <w:rsid w:val="15AD693F"/>
    <w:rsid w:val="15AE7646"/>
    <w:rsid w:val="15CA1D79"/>
    <w:rsid w:val="15D00FE3"/>
    <w:rsid w:val="15DC201E"/>
    <w:rsid w:val="16605DED"/>
    <w:rsid w:val="16610152"/>
    <w:rsid w:val="16A1573D"/>
    <w:rsid w:val="16B66298"/>
    <w:rsid w:val="16D21D27"/>
    <w:rsid w:val="170535D2"/>
    <w:rsid w:val="172A4ACD"/>
    <w:rsid w:val="17326391"/>
    <w:rsid w:val="175E5A8A"/>
    <w:rsid w:val="177A21B0"/>
    <w:rsid w:val="17A5681A"/>
    <w:rsid w:val="17CF3BE0"/>
    <w:rsid w:val="17D14880"/>
    <w:rsid w:val="17D46344"/>
    <w:rsid w:val="17E01949"/>
    <w:rsid w:val="17ED150C"/>
    <w:rsid w:val="18203599"/>
    <w:rsid w:val="182A3CB0"/>
    <w:rsid w:val="185719DE"/>
    <w:rsid w:val="1872441E"/>
    <w:rsid w:val="188B2F75"/>
    <w:rsid w:val="188B3FAB"/>
    <w:rsid w:val="199969F7"/>
    <w:rsid w:val="1A0334EA"/>
    <w:rsid w:val="1A621B42"/>
    <w:rsid w:val="1A8A5E43"/>
    <w:rsid w:val="1A8A6543"/>
    <w:rsid w:val="1A9759C4"/>
    <w:rsid w:val="1AA17AB6"/>
    <w:rsid w:val="1AC67B91"/>
    <w:rsid w:val="1AC77D0E"/>
    <w:rsid w:val="1AEC2D9E"/>
    <w:rsid w:val="1AFD5285"/>
    <w:rsid w:val="1B1E6C15"/>
    <w:rsid w:val="1BCC0565"/>
    <w:rsid w:val="1C2D6F1E"/>
    <w:rsid w:val="1C8161FF"/>
    <w:rsid w:val="1CA23D6F"/>
    <w:rsid w:val="1CB9189E"/>
    <w:rsid w:val="1D0B4383"/>
    <w:rsid w:val="1D5A13F5"/>
    <w:rsid w:val="1D9C7CD3"/>
    <w:rsid w:val="1E602499"/>
    <w:rsid w:val="1E6B3850"/>
    <w:rsid w:val="1E9236E8"/>
    <w:rsid w:val="1EA45E63"/>
    <w:rsid w:val="1EDC1CBA"/>
    <w:rsid w:val="1EE6009E"/>
    <w:rsid w:val="1F387E86"/>
    <w:rsid w:val="1F44616C"/>
    <w:rsid w:val="1F4E5F11"/>
    <w:rsid w:val="1FAC7194"/>
    <w:rsid w:val="1FFD012E"/>
    <w:rsid w:val="20283175"/>
    <w:rsid w:val="20364B19"/>
    <w:rsid w:val="20840EFE"/>
    <w:rsid w:val="208B21C3"/>
    <w:rsid w:val="20AD6ECA"/>
    <w:rsid w:val="20C42D65"/>
    <w:rsid w:val="20CB6F17"/>
    <w:rsid w:val="20D414F4"/>
    <w:rsid w:val="20FC3C98"/>
    <w:rsid w:val="21910630"/>
    <w:rsid w:val="21B63BC8"/>
    <w:rsid w:val="21B67D17"/>
    <w:rsid w:val="22236F9E"/>
    <w:rsid w:val="224551CB"/>
    <w:rsid w:val="224C7D77"/>
    <w:rsid w:val="2284644F"/>
    <w:rsid w:val="229C6A49"/>
    <w:rsid w:val="22A114AB"/>
    <w:rsid w:val="22C0666B"/>
    <w:rsid w:val="22C34341"/>
    <w:rsid w:val="2349415A"/>
    <w:rsid w:val="23753417"/>
    <w:rsid w:val="23A176D2"/>
    <w:rsid w:val="23A2454D"/>
    <w:rsid w:val="24482643"/>
    <w:rsid w:val="24D008B2"/>
    <w:rsid w:val="251B66B7"/>
    <w:rsid w:val="255D6CCF"/>
    <w:rsid w:val="256A5140"/>
    <w:rsid w:val="25AB06FB"/>
    <w:rsid w:val="25B5528E"/>
    <w:rsid w:val="25BD003C"/>
    <w:rsid w:val="25D915E7"/>
    <w:rsid w:val="25E04E43"/>
    <w:rsid w:val="25FE3A47"/>
    <w:rsid w:val="26084E8D"/>
    <w:rsid w:val="260B429B"/>
    <w:rsid w:val="26155B33"/>
    <w:rsid w:val="26176506"/>
    <w:rsid w:val="264710DC"/>
    <w:rsid w:val="26480D97"/>
    <w:rsid w:val="26BB3CAD"/>
    <w:rsid w:val="271A7A51"/>
    <w:rsid w:val="271C69D2"/>
    <w:rsid w:val="275A6E86"/>
    <w:rsid w:val="27C60E05"/>
    <w:rsid w:val="281726D9"/>
    <w:rsid w:val="284535C9"/>
    <w:rsid w:val="2857098C"/>
    <w:rsid w:val="28667D5D"/>
    <w:rsid w:val="28921B9E"/>
    <w:rsid w:val="28D03248"/>
    <w:rsid w:val="290E5610"/>
    <w:rsid w:val="29307AF9"/>
    <w:rsid w:val="29647755"/>
    <w:rsid w:val="2979501E"/>
    <w:rsid w:val="298E56A9"/>
    <w:rsid w:val="29A32517"/>
    <w:rsid w:val="2A020CD7"/>
    <w:rsid w:val="2A3D79DF"/>
    <w:rsid w:val="2A4047AF"/>
    <w:rsid w:val="2A443FBA"/>
    <w:rsid w:val="2AAA7D8D"/>
    <w:rsid w:val="2AC46EA9"/>
    <w:rsid w:val="2AD1672A"/>
    <w:rsid w:val="2AE73D3A"/>
    <w:rsid w:val="2AEE4BAB"/>
    <w:rsid w:val="2B0D2CED"/>
    <w:rsid w:val="2B255DA9"/>
    <w:rsid w:val="2B4A64A6"/>
    <w:rsid w:val="2BA07B5C"/>
    <w:rsid w:val="2BC86EE0"/>
    <w:rsid w:val="2BD24103"/>
    <w:rsid w:val="2BFF5E02"/>
    <w:rsid w:val="2C444745"/>
    <w:rsid w:val="2CC71DF2"/>
    <w:rsid w:val="2D4805D8"/>
    <w:rsid w:val="2D5269E7"/>
    <w:rsid w:val="2D866137"/>
    <w:rsid w:val="2DF16F3B"/>
    <w:rsid w:val="2E66398B"/>
    <w:rsid w:val="2ECF2E25"/>
    <w:rsid w:val="2EF452FB"/>
    <w:rsid w:val="2F14187A"/>
    <w:rsid w:val="2F1A4FD5"/>
    <w:rsid w:val="2FA874B6"/>
    <w:rsid w:val="2FAE71E3"/>
    <w:rsid w:val="303171EB"/>
    <w:rsid w:val="303625F7"/>
    <w:rsid w:val="305B44E3"/>
    <w:rsid w:val="309704E6"/>
    <w:rsid w:val="30AE3FCD"/>
    <w:rsid w:val="30D53BBD"/>
    <w:rsid w:val="31217A55"/>
    <w:rsid w:val="313844C5"/>
    <w:rsid w:val="314E3C4F"/>
    <w:rsid w:val="31803FF0"/>
    <w:rsid w:val="318319E3"/>
    <w:rsid w:val="31A812D2"/>
    <w:rsid w:val="31AC254D"/>
    <w:rsid w:val="31B953ED"/>
    <w:rsid w:val="31E92DC9"/>
    <w:rsid w:val="3230262D"/>
    <w:rsid w:val="327219E3"/>
    <w:rsid w:val="32822998"/>
    <w:rsid w:val="32AB77DD"/>
    <w:rsid w:val="32C23C57"/>
    <w:rsid w:val="32C52348"/>
    <w:rsid w:val="32D132DC"/>
    <w:rsid w:val="3300535D"/>
    <w:rsid w:val="332C398A"/>
    <w:rsid w:val="33861E21"/>
    <w:rsid w:val="338813BB"/>
    <w:rsid w:val="33F41078"/>
    <w:rsid w:val="33FE342B"/>
    <w:rsid w:val="340622E0"/>
    <w:rsid w:val="340802CA"/>
    <w:rsid w:val="34445159"/>
    <w:rsid w:val="34667B96"/>
    <w:rsid w:val="34A5374A"/>
    <w:rsid w:val="34B850A1"/>
    <w:rsid w:val="34C122AF"/>
    <w:rsid w:val="3500579E"/>
    <w:rsid w:val="35505208"/>
    <w:rsid w:val="35F26FC0"/>
    <w:rsid w:val="35F40F8A"/>
    <w:rsid w:val="35FD20BC"/>
    <w:rsid w:val="366B643D"/>
    <w:rsid w:val="36D710ED"/>
    <w:rsid w:val="36E45841"/>
    <w:rsid w:val="36E763F9"/>
    <w:rsid w:val="371A1A71"/>
    <w:rsid w:val="37407C3D"/>
    <w:rsid w:val="377A7AEB"/>
    <w:rsid w:val="37AB47ED"/>
    <w:rsid w:val="37BE1700"/>
    <w:rsid w:val="38C90864"/>
    <w:rsid w:val="38D93765"/>
    <w:rsid w:val="38E23DE0"/>
    <w:rsid w:val="392A3529"/>
    <w:rsid w:val="3935747C"/>
    <w:rsid w:val="39856509"/>
    <w:rsid w:val="39966CA5"/>
    <w:rsid w:val="3A197299"/>
    <w:rsid w:val="3A2A249A"/>
    <w:rsid w:val="3A4418D3"/>
    <w:rsid w:val="3A557E03"/>
    <w:rsid w:val="3A8C1EEB"/>
    <w:rsid w:val="3AE22A0F"/>
    <w:rsid w:val="3AFF346E"/>
    <w:rsid w:val="3B395461"/>
    <w:rsid w:val="3B8443B3"/>
    <w:rsid w:val="3BA507B1"/>
    <w:rsid w:val="3C943E4F"/>
    <w:rsid w:val="3CAB0364"/>
    <w:rsid w:val="3CE82ECA"/>
    <w:rsid w:val="3CFE3CE7"/>
    <w:rsid w:val="3D6B4F0A"/>
    <w:rsid w:val="3DB15F42"/>
    <w:rsid w:val="3DDA4089"/>
    <w:rsid w:val="3DF150A0"/>
    <w:rsid w:val="3E2F57D6"/>
    <w:rsid w:val="3E7B660F"/>
    <w:rsid w:val="3E8E2733"/>
    <w:rsid w:val="3EA75D38"/>
    <w:rsid w:val="3EBA2645"/>
    <w:rsid w:val="3ECC05DE"/>
    <w:rsid w:val="3EEA499C"/>
    <w:rsid w:val="3EEE53EF"/>
    <w:rsid w:val="3F024E9A"/>
    <w:rsid w:val="3F2F79FC"/>
    <w:rsid w:val="3FD9190E"/>
    <w:rsid w:val="40214084"/>
    <w:rsid w:val="40967D84"/>
    <w:rsid w:val="409A12D2"/>
    <w:rsid w:val="40A44B1E"/>
    <w:rsid w:val="40D92C20"/>
    <w:rsid w:val="40F65292"/>
    <w:rsid w:val="417967E7"/>
    <w:rsid w:val="417C49F1"/>
    <w:rsid w:val="41C44089"/>
    <w:rsid w:val="420172FC"/>
    <w:rsid w:val="423B508F"/>
    <w:rsid w:val="425744CF"/>
    <w:rsid w:val="42575F18"/>
    <w:rsid w:val="42757E78"/>
    <w:rsid w:val="42972E36"/>
    <w:rsid w:val="42BA638F"/>
    <w:rsid w:val="431449CD"/>
    <w:rsid w:val="43364990"/>
    <w:rsid w:val="43E96016"/>
    <w:rsid w:val="44E328F5"/>
    <w:rsid w:val="44F461CB"/>
    <w:rsid w:val="44F512D3"/>
    <w:rsid w:val="44FF1074"/>
    <w:rsid w:val="45112376"/>
    <w:rsid w:val="45423923"/>
    <w:rsid w:val="4563545A"/>
    <w:rsid w:val="459252E4"/>
    <w:rsid w:val="45C70E4A"/>
    <w:rsid w:val="46267924"/>
    <w:rsid w:val="46717E46"/>
    <w:rsid w:val="46BA2FBB"/>
    <w:rsid w:val="46DE0DE1"/>
    <w:rsid w:val="47683DA1"/>
    <w:rsid w:val="477647C2"/>
    <w:rsid w:val="47802C4B"/>
    <w:rsid w:val="488E0DCA"/>
    <w:rsid w:val="48B82CB2"/>
    <w:rsid w:val="48D64D68"/>
    <w:rsid w:val="490B392E"/>
    <w:rsid w:val="495A2EA7"/>
    <w:rsid w:val="49677981"/>
    <w:rsid w:val="49690EEF"/>
    <w:rsid w:val="49696DFB"/>
    <w:rsid w:val="496E7FB1"/>
    <w:rsid w:val="49926698"/>
    <w:rsid w:val="499D5953"/>
    <w:rsid w:val="49B819E2"/>
    <w:rsid w:val="49C548C6"/>
    <w:rsid w:val="4A1414DB"/>
    <w:rsid w:val="4A6E76C0"/>
    <w:rsid w:val="4A7D4C52"/>
    <w:rsid w:val="4A8B4A7A"/>
    <w:rsid w:val="4A924CD5"/>
    <w:rsid w:val="4A9401EE"/>
    <w:rsid w:val="4B5F55B3"/>
    <w:rsid w:val="4B687CB4"/>
    <w:rsid w:val="4B911A94"/>
    <w:rsid w:val="4BA042AC"/>
    <w:rsid w:val="4BBC7E1A"/>
    <w:rsid w:val="4BE17463"/>
    <w:rsid w:val="4BF50A94"/>
    <w:rsid w:val="4C462EE1"/>
    <w:rsid w:val="4C8B3455"/>
    <w:rsid w:val="4CA534B2"/>
    <w:rsid w:val="4CD121B7"/>
    <w:rsid w:val="4CD6481C"/>
    <w:rsid w:val="4CD778AB"/>
    <w:rsid w:val="4D0B5434"/>
    <w:rsid w:val="4D4B0259"/>
    <w:rsid w:val="4D534466"/>
    <w:rsid w:val="4D650B7E"/>
    <w:rsid w:val="4D7273AC"/>
    <w:rsid w:val="4DC17938"/>
    <w:rsid w:val="4E3A1DCD"/>
    <w:rsid w:val="4EAA786E"/>
    <w:rsid w:val="4EFC7675"/>
    <w:rsid w:val="4F136DBB"/>
    <w:rsid w:val="4F3F2E1E"/>
    <w:rsid w:val="4F7342E9"/>
    <w:rsid w:val="4F894B2F"/>
    <w:rsid w:val="4F8A5691"/>
    <w:rsid w:val="4FB20FD4"/>
    <w:rsid w:val="4FB42BA4"/>
    <w:rsid w:val="4FCC5976"/>
    <w:rsid w:val="4FE92D8A"/>
    <w:rsid w:val="50E0518E"/>
    <w:rsid w:val="51120CF7"/>
    <w:rsid w:val="517D3175"/>
    <w:rsid w:val="519C6593"/>
    <w:rsid w:val="51AD1A71"/>
    <w:rsid w:val="51B253AF"/>
    <w:rsid w:val="51DF25F2"/>
    <w:rsid w:val="51F823A1"/>
    <w:rsid w:val="52554335"/>
    <w:rsid w:val="525919E4"/>
    <w:rsid w:val="526273B5"/>
    <w:rsid w:val="529F6B22"/>
    <w:rsid w:val="52B94070"/>
    <w:rsid w:val="52B9562D"/>
    <w:rsid w:val="530B2BDB"/>
    <w:rsid w:val="53154288"/>
    <w:rsid w:val="53286C00"/>
    <w:rsid w:val="53642F90"/>
    <w:rsid w:val="53986FA1"/>
    <w:rsid w:val="53DB6E8D"/>
    <w:rsid w:val="541E7A6B"/>
    <w:rsid w:val="546C2DBB"/>
    <w:rsid w:val="547E38A6"/>
    <w:rsid w:val="5538502F"/>
    <w:rsid w:val="557B6877"/>
    <w:rsid w:val="55863CF6"/>
    <w:rsid w:val="561B17C3"/>
    <w:rsid w:val="56256C9C"/>
    <w:rsid w:val="564577AB"/>
    <w:rsid w:val="56484051"/>
    <w:rsid w:val="56F75715"/>
    <w:rsid w:val="576F0018"/>
    <w:rsid w:val="57A001E0"/>
    <w:rsid w:val="57C971CB"/>
    <w:rsid w:val="57D4652D"/>
    <w:rsid w:val="58263B97"/>
    <w:rsid w:val="58364D6D"/>
    <w:rsid w:val="58944ADB"/>
    <w:rsid w:val="58981BE4"/>
    <w:rsid w:val="589F14D0"/>
    <w:rsid w:val="58BC103B"/>
    <w:rsid w:val="58D95D50"/>
    <w:rsid w:val="58E930DF"/>
    <w:rsid w:val="5953321D"/>
    <w:rsid w:val="5972035B"/>
    <w:rsid w:val="598F49A2"/>
    <w:rsid w:val="59E16A48"/>
    <w:rsid w:val="5A512CA3"/>
    <w:rsid w:val="5A817B0D"/>
    <w:rsid w:val="5AA24261"/>
    <w:rsid w:val="5AAB323C"/>
    <w:rsid w:val="5ACB7AA8"/>
    <w:rsid w:val="5B34012D"/>
    <w:rsid w:val="5B3809A4"/>
    <w:rsid w:val="5B661D3E"/>
    <w:rsid w:val="5B8B2C48"/>
    <w:rsid w:val="5BDB7642"/>
    <w:rsid w:val="5C150452"/>
    <w:rsid w:val="5C24022B"/>
    <w:rsid w:val="5C577F68"/>
    <w:rsid w:val="5CE60BF5"/>
    <w:rsid w:val="5CFA64BB"/>
    <w:rsid w:val="5D211F91"/>
    <w:rsid w:val="5D4A3EFC"/>
    <w:rsid w:val="5D4E769C"/>
    <w:rsid w:val="5DD54E8B"/>
    <w:rsid w:val="5DEB2B8A"/>
    <w:rsid w:val="5DF9473C"/>
    <w:rsid w:val="5E0043EB"/>
    <w:rsid w:val="5E640635"/>
    <w:rsid w:val="5E6801F6"/>
    <w:rsid w:val="5E8D55E7"/>
    <w:rsid w:val="5EB0175B"/>
    <w:rsid w:val="5EDB4154"/>
    <w:rsid w:val="5F25283E"/>
    <w:rsid w:val="5F443548"/>
    <w:rsid w:val="5F46765E"/>
    <w:rsid w:val="5F4A2384"/>
    <w:rsid w:val="5FE82E15"/>
    <w:rsid w:val="60197873"/>
    <w:rsid w:val="608C47AD"/>
    <w:rsid w:val="60A919DB"/>
    <w:rsid w:val="613E3492"/>
    <w:rsid w:val="61557B69"/>
    <w:rsid w:val="61596517"/>
    <w:rsid w:val="61B256D1"/>
    <w:rsid w:val="61CE1DDF"/>
    <w:rsid w:val="61D31C75"/>
    <w:rsid w:val="621905FA"/>
    <w:rsid w:val="62347CE8"/>
    <w:rsid w:val="62E573E1"/>
    <w:rsid w:val="62EA0E9B"/>
    <w:rsid w:val="62FF7219"/>
    <w:rsid w:val="6327449C"/>
    <w:rsid w:val="63AC77BB"/>
    <w:rsid w:val="64044FBC"/>
    <w:rsid w:val="6435364B"/>
    <w:rsid w:val="64400C58"/>
    <w:rsid w:val="64417910"/>
    <w:rsid w:val="645419DF"/>
    <w:rsid w:val="646E2237"/>
    <w:rsid w:val="64720FED"/>
    <w:rsid w:val="64756074"/>
    <w:rsid w:val="65190998"/>
    <w:rsid w:val="653C0244"/>
    <w:rsid w:val="654815BA"/>
    <w:rsid w:val="6581707A"/>
    <w:rsid w:val="65F64ED0"/>
    <w:rsid w:val="66150F73"/>
    <w:rsid w:val="661E4002"/>
    <w:rsid w:val="66270B71"/>
    <w:rsid w:val="66330E26"/>
    <w:rsid w:val="663B3B08"/>
    <w:rsid w:val="66D962DF"/>
    <w:rsid w:val="66F422E8"/>
    <w:rsid w:val="6712276E"/>
    <w:rsid w:val="673B1C5F"/>
    <w:rsid w:val="678A3FEA"/>
    <w:rsid w:val="67BE4817"/>
    <w:rsid w:val="684C30B4"/>
    <w:rsid w:val="68872F48"/>
    <w:rsid w:val="68DF7CB3"/>
    <w:rsid w:val="68E36170"/>
    <w:rsid w:val="69077DF7"/>
    <w:rsid w:val="698C1F88"/>
    <w:rsid w:val="699E1BC4"/>
    <w:rsid w:val="69B36B93"/>
    <w:rsid w:val="6A1B3C72"/>
    <w:rsid w:val="6A42100A"/>
    <w:rsid w:val="6A46782D"/>
    <w:rsid w:val="6A483A07"/>
    <w:rsid w:val="6A5A270D"/>
    <w:rsid w:val="6A6570A7"/>
    <w:rsid w:val="6A8D19F1"/>
    <w:rsid w:val="6AD16E19"/>
    <w:rsid w:val="6AD71EB7"/>
    <w:rsid w:val="6ADC1F8C"/>
    <w:rsid w:val="6AE61F48"/>
    <w:rsid w:val="6B1A6611"/>
    <w:rsid w:val="6B2356CB"/>
    <w:rsid w:val="6BAD57CD"/>
    <w:rsid w:val="6BC7049F"/>
    <w:rsid w:val="6BD67D9C"/>
    <w:rsid w:val="6BF40694"/>
    <w:rsid w:val="6C0F3245"/>
    <w:rsid w:val="6C601B62"/>
    <w:rsid w:val="6C92548F"/>
    <w:rsid w:val="6C955D99"/>
    <w:rsid w:val="6CDB3535"/>
    <w:rsid w:val="6CFC3CA5"/>
    <w:rsid w:val="6CFD6C90"/>
    <w:rsid w:val="6D535020"/>
    <w:rsid w:val="6DB72303"/>
    <w:rsid w:val="6DDB190C"/>
    <w:rsid w:val="6E06069C"/>
    <w:rsid w:val="6E241040"/>
    <w:rsid w:val="6E604605"/>
    <w:rsid w:val="6E72653C"/>
    <w:rsid w:val="6E763C49"/>
    <w:rsid w:val="6E932525"/>
    <w:rsid w:val="6EA94972"/>
    <w:rsid w:val="6EC4352D"/>
    <w:rsid w:val="6EE52005"/>
    <w:rsid w:val="6F6F4ADE"/>
    <w:rsid w:val="6F8B0BCB"/>
    <w:rsid w:val="6F996FEA"/>
    <w:rsid w:val="6FEA102B"/>
    <w:rsid w:val="70303F8A"/>
    <w:rsid w:val="70404269"/>
    <w:rsid w:val="705D6E8A"/>
    <w:rsid w:val="70995FB2"/>
    <w:rsid w:val="70A26911"/>
    <w:rsid w:val="70EC6D02"/>
    <w:rsid w:val="712633F1"/>
    <w:rsid w:val="71287678"/>
    <w:rsid w:val="714B41D5"/>
    <w:rsid w:val="714E6C7F"/>
    <w:rsid w:val="71627FFF"/>
    <w:rsid w:val="71E8221B"/>
    <w:rsid w:val="71FC3264"/>
    <w:rsid w:val="7258197D"/>
    <w:rsid w:val="72600C41"/>
    <w:rsid w:val="72EE397C"/>
    <w:rsid w:val="73141F2D"/>
    <w:rsid w:val="731A13E3"/>
    <w:rsid w:val="73264A06"/>
    <w:rsid w:val="73324F31"/>
    <w:rsid w:val="735D6FAF"/>
    <w:rsid w:val="73611E73"/>
    <w:rsid w:val="736C6F49"/>
    <w:rsid w:val="7381444B"/>
    <w:rsid w:val="74157F65"/>
    <w:rsid w:val="74212628"/>
    <w:rsid w:val="74746816"/>
    <w:rsid w:val="747E5726"/>
    <w:rsid w:val="74BA74C3"/>
    <w:rsid w:val="74ED4B84"/>
    <w:rsid w:val="75054A42"/>
    <w:rsid w:val="75E36485"/>
    <w:rsid w:val="76011B48"/>
    <w:rsid w:val="761121A2"/>
    <w:rsid w:val="761B49FD"/>
    <w:rsid w:val="76386695"/>
    <w:rsid w:val="763A49C9"/>
    <w:rsid w:val="766D5B37"/>
    <w:rsid w:val="7674001C"/>
    <w:rsid w:val="767F56B9"/>
    <w:rsid w:val="769166C3"/>
    <w:rsid w:val="76AB3B03"/>
    <w:rsid w:val="76D249B8"/>
    <w:rsid w:val="771971C2"/>
    <w:rsid w:val="77202BB3"/>
    <w:rsid w:val="774D4AD7"/>
    <w:rsid w:val="777C7EBC"/>
    <w:rsid w:val="77862AE9"/>
    <w:rsid w:val="77A23CEC"/>
    <w:rsid w:val="77A45665"/>
    <w:rsid w:val="77E5746E"/>
    <w:rsid w:val="77EE4EDB"/>
    <w:rsid w:val="77FB054F"/>
    <w:rsid w:val="77FF1415"/>
    <w:rsid w:val="780F4771"/>
    <w:rsid w:val="782A3DBC"/>
    <w:rsid w:val="783E56FD"/>
    <w:rsid w:val="784129DA"/>
    <w:rsid w:val="78B51C47"/>
    <w:rsid w:val="790D34AE"/>
    <w:rsid w:val="790F2DCD"/>
    <w:rsid w:val="794459D9"/>
    <w:rsid w:val="79604890"/>
    <w:rsid w:val="799E6AA9"/>
    <w:rsid w:val="79A24A66"/>
    <w:rsid w:val="79D12015"/>
    <w:rsid w:val="79D374D0"/>
    <w:rsid w:val="7A005697"/>
    <w:rsid w:val="7A1F14FA"/>
    <w:rsid w:val="7A684F59"/>
    <w:rsid w:val="7A871A03"/>
    <w:rsid w:val="7B0A4A44"/>
    <w:rsid w:val="7B9E513B"/>
    <w:rsid w:val="7BDB197F"/>
    <w:rsid w:val="7BF12528"/>
    <w:rsid w:val="7C064C5E"/>
    <w:rsid w:val="7C417667"/>
    <w:rsid w:val="7C8762D5"/>
    <w:rsid w:val="7C92329B"/>
    <w:rsid w:val="7C9D51B4"/>
    <w:rsid w:val="7CA61FEA"/>
    <w:rsid w:val="7CC92281"/>
    <w:rsid w:val="7CED1322"/>
    <w:rsid w:val="7D0E24FD"/>
    <w:rsid w:val="7D676064"/>
    <w:rsid w:val="7DD6409E"/>
    <w:rsid w:val="7E3925B3"/>
    <w:rsid w:val="7E610966"/>
    <w:rsid w:val="7E66453C"/>
    <w:rsid w:val="7EC84E7F"/>
    <w:rsid w:val="7EC976D5"/>
    <w:rsid w:val="7ED529EF"/>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autoRedefine/>
    <w:qFormat/>
    <w:uiPriority w:val="0"/>
    <w:pPr>
      <w:keepNext/>
      <w:keepLines/>
      <w:spacing w:before="340" w:after="330" w:line="576" w:lineRule="auto"/>
      <w:outlineLvl w:val="0"/>
    </w:pPr>
    <w:rPr>
      <w:b/>
      <w:kern w:val="44"/>
      <w:sz w:val="44"/>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autoRedefine/>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7">
    <w:name w:val="heading 4"/>
    <w:basedOn w:val="1"/>
    <w:next w:val="1"/>
    <w:autoRedefine/>
    <w:qFormat/>
    <w:uiPriority w:val="99"/>
    <w:pPr>
      <w:keepNext/>
      <w:keepLines/>
      <w:spacing w:before="280" w:after="290" w:line="376" w:lineRule="auto"/>
      <w:outlineLvl w:val="3"/>
    </w:pPr>
    <w:rPr>
      <w:rFonts w:ascii="Cambria" w:hAnsi="Cambria"/>
      <w:b/>
      <w:bCs/>
      <w:kern w:val="0"/>
      <w:sz w:val="28"/>
      <w:szCs w:val="28"/>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customStyle="1" w:styleId="2">
    <w:name w:val="正文1"/>
    <w:basedOn w:val="3"/>
    <w:autoRedefine/>
    <w:qFormat/>
    <w:uiPriority w:val="0"/>
    <w:pPr>
      <w:adjustRightInd w:val="0"/>
      <w:spacing w:line="480" w:lineRule="atLeast"/>
      <w:textAlignment w:val="baseline"/>
    </w:pPr>
    <w:rPr>
      <w:rFonts w:ascii="宋体"/>
      <w:kern w:val="0"/>
      <w:sz w:val="28"/>
      <w:szCs w:val="20"/>
    </w:rPr>
  </w:style>
  <w:style w:type="paragraph" w:styleId="3">
    <w:name w:val="toc 1"/>
    <w:basedOn w:val="1"/>
    <w:next w:val="1"/>
    <w:link w:val="46"/>
    <w:autoRedefine/>
    <w:qFormat/>
    <w:uiPriority w:val="0"/>
  </w:style>
  <w:style w:type="paragraph" w:styleId="8">
    <w:name w:val="toc 7"/>
    <w:basedOn w:val="1"/>
    <w:next w:val="1"/>
    <w:autoRedefine/>
    <w:qFormat/>
    <w:uiPriority w:val="39"/>
    <w:pPr>
      <w:ind w:left="1260"/>
      <w:jc w:val="left"/>
    </w:pPr>
    <w:rPr>
      <w:sz w:val="20"/>
      <w:szCs w:val="20"/>
    </w:rPr>
  </w:style>
  <w:style w:type="paragraph" w:styleId="9">
    <w:name w:val="Normal Indent"/>
    <w:basedOn w:val="1"/>
    <w:autoRedefine/>
    <w:qFormat/>
    <w:uiPriority w:val="0"/>
    <w:pPr>
      <w:ind w:firstLine="420" w:firstLineChars="200"/>
    </w:pPr>
  </w:style>
  <w:style w:type="paragraph" w:styleId="10">
    <w:name w:val="toa heading"/>
    <w:basedOn w:val="1"/>
    <w:next w:val="1"/>
    <w:autoRedefine/>
    <w:qFormat/>
    <w:uiPriority w:val="0"/>
    <w:pPr>
      <w:spacing w:before="120"/>
    </w:pPr>
    <w:rPr>
      <w:rFonts w:ascii="Cambria" w:hAnsi="Cambria" w:cs="Times New Roman"/>
      <w:sz w:val="24"/>
    </w:rPr>
  </w:style>
  <w:style w:type="paragraph" w:styleId="11">
    <w:name w:val="annotation text"/>
    <w:basedOn w:val="1"/>
    <w:autoRedefine/>
    <w:qFormat/>
    <w:uiPriority w:val="0"/>
    <w:pPr>
      <w:jc w:val="left"/>
    </w:pPr>
  </w:style>
  <w:style w:type="paragraph" w:styleId="12">
    <w:name w:val="Body Text"/>
    <w:basedOn w:val="1"/>
    <w:next w:val="13"/>
    <w:link w:val="42"/>
    <w:autoRedefine/>
    <w:qFormat/>
    <w:uiPriority w:val="99"/>
    <w:pPr>
      <w:spacing w:after="120"/>
    </w:pPr>
    <w:rPr>
      <w:kern w:val="0"/>
      <w:sz w:val="20"/>
      <w:szCs w:val="20"/>
    </w:rPr>
  </w:style>
  <w:style w:type="paragraph" w:customStyle="1" w:styleId="13">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4">
    <w:name w:val="Body Text Indent"/>
    <w:basedOn w:val="1"/>
    <w:next w:val="15"/>
    <w:autoRedefine/>
    <w:qFormat/>
    <w:uiPriority w:val="0"/>
    <w:rPr>
      <w:kern w:val="0"/>
      <w:sz w:val="24"/>
    </w:rPr>
  </w:style>
  <w:style w:type="paragraph" w:styleId="15">
    <w:name w:val="envelope return"/>
    <w:basedOn w:val="1"/>
    <w:next w:val="8"/>
    <w:autoRedefine/>
    <w:qFormat/>
    <w:uiPriority w:val="99"/>
    <w:pPr>
      <w:widowControl/>
    </w:pPr>
    <w:rPr>
      <w:rFonts w:ascii="Times New Roman" w:hAnsi="Times New Roman"/>
      <w:kern w:val="0"/>
      <w:sz w:val="22"/>
      <w:szCs w:val="20"/>
      <w:lang w:val="en-GB" w:eastAsia="en-US"/>
    </w:rPr>
  </w:style>
  <w:style w:type="paragraph" w:styleId="16">
    <w:name w:val="Plain Text"/>
    <w:basedOn w:val="1"/>
    <w:autoRedefine/>
    <w:qFormat/>
    <w:uiPriority w:val="0"/>
    <w:rPr>
      <w:rFonts w:ascii="宋体" w:hAnsi="Courier New"/>
      <w:kern w:val="0"/>
      <w:sz w:val="20"/>
    </w:rPr>
  </w:style>
  <w:style w:type="paragraph" w:styleId="17">
    <w:name w:val="Body Text Indent 2"/>
    <w:basedOn w:val="1"/>
    <w:autoRedefine/>
    <w:qFormat/>
    <w:uiPriority w:val="0"/>
    <w:pPr>
      <w:tabs>
        <w:tab w:val="left" w:pos="900"/>
      </w:tabs>
      <w:ind w:left="1260"/>
    </w:pPr>
  </w:style>
  <w:style w:type="paragraph" w:styleId="18">
    <w:name w:val="Balloon Text"/>
    <w:basedOn w:val="1"/>
    <w:link w:val="44"/>
    <w:autoRedefine/>
    <w:qFormat/>
    <w:uiPriority w:val="0"/>
    <w:rPr>
      <w:sz w:val="18"/>
      <w:szCs w:val="18"/>
    </w:rPr>
  </w:style>
  <w:style w:type="paragraph" w:styleId="19">
    <w:name w:val="footer"/>
    <w:basedOn w:val="1"/>
    <w:link w:val="45"/>
    <w:autoRedefine/>
    <w:unhideWhenUsed/>
    <w:qFormat/>
    <w:uiPriority w:val="99"/>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link w:val="47"/>
    <w:autoRedefine/>
    <w:qFormat/>
    <w:uiPriority w:val="99"/>
    <w:pPr>
      <w:spacing w:after="120" w:line="480" w:lineRule="auto"/>
    </w:pPr>
    <w:rPr>
      <w:kern w:val="0"/>
      <w:sz w:val="20"/>
      <w:szCs w:val="20"/>
    </w:rPr>
  </w:style>
  <w:style w:type="paragraph" w:styleId="22">
    <w:name w:val="Normal (Web)"/>
    <w:basedOn w:val="1"/>
    <w:autoRedefine/>
    <w:qFormat/>
    <w:uiPriority w:val="99"/>
    <w:pPr>
      <w:widowControl/>
      <w:spacing w:before="75" w:after="150" w:line="384" w:lineRule="atLeast"/>
      <w:ind w:firstLine="240"/>
      <w:jc w:val="left"/>
    </w:pPr>
    <w:rPr>
      <w:rFonts w:ascii="ˎ̥" w:hAnsi="ˎ̥" w:cs="宋体"/>
      <w:kern w:val="0"/>
      <w:sz w:val="18"/>
      <w:szCs w:val="18"/>
    </w:rPr>
  </w:style>
  <w:style w:type="paragraph" w:styleId="23">
    <w:name w:val="Body Text First Indent"/>
    <w:basedOn w:val="12"/>
    <w:next w:val="24"/>
    <w:autoRedefine/>
    <w:qFormat/>
    <w:uiPriority w:val="99"/>
    <w:pPr>
      <w:ind w:firstLine="420"/>
    </w:pPr>
    <w:rPr>
      <w:szCs w:val="28"/>
    </w:rPr>
  </w:style>
  <w:style w:type="paragraph" w:styleId="24">
    <w:name w:val="Body Text First Indent 2"/>
    <w:basedOn w:val="14"/>
    <w:next w:val="1"/>
    <w:autoRedefine/>
    <w:qFormat/>
    <w:uiPriority w:val="0"/>
    <w:pPr>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style>
  <w:style w:type="character" w:styleId="29">
    <w:name w:val="page number"/>
    <w:basedOn w:val="27"/>
    <w:autoRedefine/>
    <w:unhideWhenUsed/>
    <w:qFormat/>
    <w:uiPriority w:val="99"/>
  </w:style>
  <w:style w:type="character" w:styleId="30">
    <w:name w:val="FollowedHyperlink"/>
    <w:basedOn w:val="27"/>
    <w:autoRedefine/>
    <w:qFormat/>
    <w:uiPriority w:val="0"/>
    <w:rPr>
      <w:color w:val="555555"/>
      <w:u w:val="none"/>
    </w:rPr>
  </w:style>
  <w:style w:type="character" w:styleId="31">
    <w:name w:val="Emphasis"/>
    <w:basedOn w:val="27"/>
    <w:autoRedefine/>
    <w:qFormat/>
    <w:uiPriority w:val="0"/>
  </w:style>
  <w:style w:type="character" w:styleId="32">
    <w:name w:val="HTML Definition"/>
    <w:basedOn w:val="27"/>
    <w:autoRedefine/>
    <w:qFormat/>
    <w:uiPriority w:val="0"/>
  </w:style>
  <w:style w:type="character" w:styleId="33">
    <w:name w:val="HTML Typewriter"/>
    <w:basedOn w:val="27"/>
    <w:autoRedefine/>
    <w:qFormat/>
    <w:uiPriority w:val="0"/>
    <w:rPr>
      <w:rFonts w:hint="default" w:ascii="monospace" w:hAnsi="monospace" w:eastAsia="monospace" w:cs="monospace"/>
      <w:sz w:val="20"/>
    </w:rPr>
  </w:style>
  <w:style w:type="character" w:styleId="34">
    <w:name w:val="HTML Acronym"/>
    <w:basedOn w:val="27"/>
    <w:autoRedefine/>
    <w:qFormat/>
    <w:uiPriority w:val="0"/>
  </w:style>
  <w:style w:type="character" w:styleId="35">
    <w:name w:val="HTML Variable"/>
    <w:basedOn w:val="27"/>
    <w:autoRedefine/>
    <w:qFormat/>
    <w:uiPriority w:val="0"/>
  </w:style>
  <w:style w:type="character" w:styleId="36">
    <w:name w:val="Hyperlink"/>
    <w:basedOn w:val="27"/>
    <w:autoRedefine/>
    <w:qFormat/>
    <w:uiPriority w:val="0"/>
    <w:rPr>
      <w:color w:val="555555"/>
      <w:u w:val="none"/>
    </w:rPr>
  </w:style>
  <w:style w:type="character" w:styleId="37">
    <w:name w:val="HTML Code"/>
    <w:basedOn w:val="27"/>
    <w:autoRedefine/>
    <w:qFormat/>
    <w:uiPriority w:val="0"/>
    <w:rPr>
      <w:rFonts w:hint="default" w:ascii="Consolas" w:hAnsi="Consolas" w:eastAsia="Consolas" w:cs="Consolas"/>
      <w:color w:val="E83E8C"/>
      <w:sz w:val="21"/>
      <w:szCs w:val="21"/>
    </w:rPr>
  </w:style>
  <w:style w:type="character" w:styleId="38">
    <w:name w:val="annotation reference"/>
    <w:autoRedefine/>
    <w:qFormat/>
    <w:uiPriority w:val="0"/>
    <w:rPr>
      <w:sz w:val="21"/>
      <w:szCs w:val="21"/>
    </w:rPr>
  </w:style>
  <w:style w:type="character" w:styleId="39">
    <w:name w:val="HTML Cite"/>
    <w:basedOn w:val="27"/>
    <w:autoRedefine/>
    <w:qFormat/>
    <w:uiPriority w:val="0"/>
  </w:style>
  <w:style w:type="character" w:styleId="40">
    <w:name w:val="HTML Keyboard"/>
    <w:basedOn w:val="27"/>
    <w:autoRedefine/>
    <w:qFormat/>
    <w:uiPriority w:val="0"/>
    <w:rPr>
      <w:rFonts w:hint="default" w:ascii="Consolas" w:hAnsi="Consolas" w:eastAsia="Consolas" w:cs="Consolas"/>
      <w:color w:val="FFFFFF"/>
      <w:sz w:val="21"/>
      <w:szCs w:val="21"/>
      <w:shd w:val="clear" w:color="auto" w:fill="212529"/>
    </w:rPr>
  </w:style>
  <w:style w:type="character" w:styleId="41">
    <w:name w:val="HTML Sample"/>
    <w:basedOn w:val="27"/>
    <w:autoRedefine/>
    <w:qFormat/>
    <w:uiPriority w:val="0"/>
    <w:rPr>
      <w:rFonts w:ascii="Consolas" w:hAnsi="Consolas" w:eastAsia="Consolas" w:cs="Consolas"/>
      <w:sz w:val="21"/>
      <w:szCs w:val="21"/>
    </w:rPr>
  </w:style>
  <w:style w:type="character" w:customStyle="1" w:styleId="42">
    <w:name w:val="正文文本 Char"/>
    <w:link w:val="12"/>
    <w:autoRedefine/>
    <w:qFormat/>
    <w:uiPriority w:val="99"/>
    <w:rPr>
      <w:kern w:val="0"/>
    </w:rPr>
  </w:style>
  <w:style w:type="character" w:customStyle="1" w:styleId="43">
    <w:name w:val="标题 1 Char"/>
    <w:basedOn w:val="27"/>
    <w:link w:val="4"/>
    <w:autoRedefine/>
    <w:qFormat/>
    <w:uiPriority w:val="0"/>
    <w:rPr>
      <w:b/>
      <w:kern w:val="44"/>
      <w:sz w:val="44"/>
    </w:rPr>
  </w:style>
  <w:style w:type="character" w:customStyle="1" w:styleId="44">
    <w:name w:val="批注框文本 Char"/>
    <w:basedOn w:val="27"/>
    <w:link w:val="18"/>
    <w:autoRedefine/>
    <w:qFormat/>
    <w:uiPriority w:val="0"/>
    <w:rPr>
      <w:kern w:val="2"/>
      <w:sz w:val="18"/>
      <w:szCs w:val="18"/>
    </w:rPr>
  </w:style>
  <w:style w:type="character" w:customStyle="1" w:styleId="45">
    <w:name w:val="页脚 Char"/>
    <w:basedOn w:val="27"/>
    <w:link w:val="19"/>
    <w:autoRedefine/>
    <w:qFormat/>
    <w:uiPriority w:val="99"/>
    <w:rPr>
      <w:kern w:val="2"/>
      <w:sz w:val="18"/>
      <w:szCs w:val="18"/>
    </w:rPr>
  </w:style>
  <w:style w:type="character" w:customStyle="1" w:styleId="46">
    <w:name w:val="目录 1 Char"/>
    <w:link w:val="3"/>
    <w:autoRedefine/>
    <w:qFormat/>
    <w:uiPriority w:val="0"/>
  </w:style>
  <w:style w:type="character" w:customStyle="1" w:styleId="47">
    <w:name w:val="正文文本 2 Char"/>
    <w:link w:val="21"/>
    <w:autoRedefine/>
    <w:qFormat/>
    <w:uiPriority w:val="99"/>
    <w:rPr>
      <w:kern w:val="0"/>
    </w:rPr>
  </w:style>
  <w:style w:type="character" w:customStyle="1" w:styleId="48">
    <w:name w:val="font51"/>
    <w:basedOn w:val="27"/>
    <w:autoRedefine/>
    <w:qFormat/>
    <w:uiPriority w:val="0"/>
    <w:rPr>
      <w:rFonts w:hint="eastAsia" w:ascii="宋体" w:hAnsi="宋体" w:eastAsia="宋体" w:cs="宋体"/>
      <w:color w:val="000000"/>
      <w:sz w:val="18"/>
      <w:szCs w:val="18"/>
      <w:u w:val="none"/>
    </w:rPr>
  </w:style>
  <w:style w:type="character" w:customStyle="1" w:styleId="49">
    <w:name w:val="font21"/>
    <w:basedOn w:val="27"/>
    <w:autoRedefine/>
    <w:qFormat/>
    <w:uiPriority w:val="0"/>
    <w:rPr>
      <w:rFonts w:hint="eastAsia" w:ascii="宋体" w:hAnsi="宋体" w:eastAsia="宋体" w:cs="宋体"/>
      <w:color w:val="000000"/>
      <w:sz w:val="24"/>
      <w:szCs w:val="24"/>
      <w:u w:val="none"/>
    </w:rPr>
  </w:style>
  <w:style w:type="character" w:customStyle="1" w:styleId="50">
    <w:name w:val="font11"/>
    <w:basedOn w:val="27"/>
    <w:autoRedefine/>
    <w:qFormat/>
    <w:uiPriority w:val="0"/>
    <w:rPr>
      <w:rFonts w:hint="eastAsia" w:ascii="宋体" w:hAnsi="宋体" w:eastAsia="宋体" w:cs="宋体"/>
      <w:color w:val="000000"/>
      <w:sz w:val="18"/>
      <w:szCs w:val="18"/>
      <w:u w:val="none"/>
    </w:rPr>
  </w:style>
  <w:style w:type="character" w:customStyle="1" w:styleId="51">
    <w:name w:val="font81"/>
    <w:basedOn w:val="27"/>
    <w:autoRedefine/>
    <w:qFormat/>
    <w:uiPriority w:val="0"/>
    <w:rPr>
      <w:rFonts w:hint="eastAsia" w:ascii="宋体" w:hAnsi="宋体" w:eastAsia="宋体" w:cs="宋体"/>
      <w:b/>
      <w:color w:val="000000"/>
      <w:sz w:val="24"/>
      <w:szCs w:val="24"/>
      <w:u w:val="none"/>
    </w:rPr>
  </w:style>
  <w:style w:type="character" w:customStyle="1" w:styleId="52">
    <w:name w:val="font01"/>
    <w:basedOn w:val="27"/>
    <w:autoRedefine/>
    <w:qFormat/>
    <w:uiPriority w:val="0"/>
    <w:rPr>
      <w:rFonts w:hint="default" w:ascii="楷体_GB2312" w:eastAsia="楷体_GB2312" w:cs="楷体_GB2312"/>
      <w:color w:val="000000"/>
      <w:sz w:val="22"/>
      <w:szCs w:val="22"/>
      <w:u w:val="none"/>
    </w:rPr>
  </w:style>
  <w:style w:type="character" w:customStyle="1" w:styleId="53">
    <w:name w:val="first-child"/>
    <w:basedOn w:val="27"/>
    <w:autoRedefine/>
    <w:qFormat/>
    <w:uiPriority w:val="0"/>
  </w:style>
  <w:style w:type="character" w:customStyle="1" w:styleId="54">
    <w:name w:val="font91"/>
    <w:basedOn w:val="27"/>
    <w:autoRedefine/>
    <w:qFormat/>
    <w:uiPriority w:val="0"/>
    <w:rPr>
      <w:rFonts w:hint="eastAsia" w:ascii="宋体" w:hAnsi="宋体" w:eastAsia="宋体" w:cs="宋体"/>
      <w:color w:val="000000"/>
      <w:sz w:val="22"/>
      <w:szCs w:val="22"/>
      <w:u w:val="none"/>
    </w:rPr>
  </w:style>
  <w:style w:type="character" w:customStyle="1" w:styleId="55">
    <w:name w:val="font61"/>
    <w:basedOn w:val="27"/>
    <w:autoRedefine/>
    <w:qFormat/>
    <w:uiPriority w:val="0"/>
    <w:rPr>
      <w:rFonts w:hint="eastAsia" w:ascii="宋体" w:hAnsi="宋体" w:eastAsia="宋体" w:cs="宋体"/>
      <w:b/>
      <w:color w:val="FF0000"/>
      <w:sz w:val="24"/>
      <w:szCs w:val="24"/>
      <w:u w:val="none"/>
    </w:rPr>
  </w:style>
  <w:style w:type="character" w:customStyle="1" w:styleId="56">
    <w:name w:val="样式3 Char"/>
    <w:link w:val="57"/>
    <w:autoRedefine/>
    <w:qFormat/>
    <w:uiPriority w:val="0"/>
    <w:rPr>
      <w:sz w:val="28"/>
      <w:szCs w:val="20"/>
    </w:rPr>
  </w:style>
  <w:style w:type="paragraph" w:customStyle="1" w:styleId="57">
    <w:name w:val="样式3"/>
    <w:basedOn w:val="16"/>
    <w:link w:val="56"/>
    <w:autoRedefine/>
    <w:qFormat/>
    <w:uiPriority w:val="0"/>
    <w:pPr>
      <w:spacing w:line="0" w:lineRule="atLeast"/>
      <w:outlineLvl w:val="0"/>
    </w:pPr>
    <w:rPr>
      <w:rFonts w:ascii="Times New Roman" w:hAnsi="Times New Roman"/>
      <w:sz w:val="28"/>
      <w:szCs w:val="20"/>
    </w:rPr>
  </w:style>
  <w:style w:type="character" w:customStyle="1" w:styleId="58">
    <w:name w:val="op-map-singlepoint-info-right1"/>
    <w:basedOn w:val="27"/>
    <w:autoRedefine/>
    <w:qFormat/>
    <w:uiPriority w:val="0"/>
  </w:style>
  <w:style w:type="character" w:customStyle="1" w:styleId="59">
    <w:name w:val="font31"/>
    <w:basedOn w:val="27"/>
    <w:autoRedefine/>
    <w:qFormat/>
    <w:uiPriority w:val="0"/>
    <w:rPr>
      <w:rFonts w:hint="eastAsia" w:ascii="宋体" w:hAnsi="宋体" w:eastAsia="宋体" w:cs="宋体"/>
      <w:color w:val="000000"/>
      <w:sz w:val="24"/>
      <w:szCs w:val="24"/>
      <w:u w:val="none"/>
    </w:rPr>
  </w:style>
  <w:style w:type="character" w:customStyle="1" w:styleId="60">
    <w:name w:val="样式2 Char"/>
    <w:link w:val="61"/>
    <w:autoRedefine/>
    <w:qFormat/>
    <w:uiPriority w:val="0"/>
    <w:rPr>
      <w:b/>
      <w:bCs/>
      <w:color w:val="000000"/>
      <w:sz w:val="36"/>
      <w:szCs w:val="36"/>
    </w:rPr>
  </w:style>
  <w:style w:type="paragraph" w:customStyle="1" w:styleId="61">
    <w:name w:val="样式2"/>
    <w:basedOn w:val="1"/>
    <w:next w:val="5"/>
    <w:link w:val="60"/>
    <w:autoRedefine/>
    <w:qFormat/>
    <w:uiPriority w:val="0"/>
    <w:pPr>
      <w:spacing w:line="500" w:lineRule="exact"/>
      <w:ind w:firstLine="560"/>
      <w:jc w:val="center"/>
    </w:pPr>
    <w:rPr>
      <w:b/>
      <w:bCs/>
      <w:color w:val="000000"/>
      <w:kern w:val="0"/>
      <w:sz w:val="36"/>
      <w:szCs w:val="36"/>
    </w:rPr>
  </w:style>
  <w:style w:type="character" w:customStyle="1" w:styleId="62">
    <w:name w:val="layui-layer-tabnow"/>
    <w:basedOn w:val="27"/>
    <w:autoRedefine/>
    <w:qFormat/>
    <w:uiPriority w:val="0"/>
    <w:rPr>
      <w:bdr w:val="single" w:color="CCCCCC" w:sz="6" w:space="0"/>
      <w:shd w:val="clear" w:color="auto" w:fill="FFFFFF"/>
    </w:rPr>
  </w:style>
  <w:style w:type="character" w:customStyle="1" w:styleId="63">
    <w:name w:val="fontstyle01"/>
    <w:basedOn w:val="27"/>
    <w:autoRedefine/>
    <w:qFormat/>
    <w:uiPriority w:val="0"/>
    <w:rPr>
      <w:rFonts w:hint="eastAsia" w:ascii="宋体" w:hAnsi="宋体" w:eastAsia="宋体"/>
      <w:color w:val="000000"/>
      <w:sz w:val="20"/>
      <w:szCs w:val="20"/>
    </w:rPr>
  </w:style>
  <w:style w:type="paragraph" w:customStyle="1" w:styleId="64">
    <w:name w:val="List Paragraph1"/>
    <w:basedOn w:val="1"/>
    <w:autoRedefine/>
    <w:qFormat/>
    <w:uiPriority w:val="0"/>
    <w:pPr>
      <w:ind w:firstLine="420" w:firstLineChars="200"/>
    </w:pPr>
    <w:rPr>
      <w:rFonts w:ascii="Calibri" w:hAnsi="Calibri"/>
      <w:szCs w:val="22"/>
    </w:rPr>
  </w:style>
  <w:style w:type="paragraph" w:customStyle="1" w:styleId="65">
    <w:name w:val="彩色列表1"/>
    <w:basedOn w:val="1"/>
    <w:autoRedefine/>
    <w:qFormat/>
    <w:uiPriority w:val="34"/>
    <w:pPr>
      <w:ind w:firstLine="420" w:firstLineChars="200"/>
    </w:pPr>
    <w:rPr>
      <w:rFonts w:ascii="Calibri" w:hAnsi="Calibri"/>
      <w:szCs w:val="22"/>
    </w:rPr>
  </w:style>
  <w:style w:type="paragraph" w:customStyle="1" w:styleId="66">
    <w:name w:val="Body Text Indent1"/>
    <w:basedOn w:val="1"/>
    <w:autoRedefine/>
    <w:qFormat/>
    <w:uiPriority w:val="99"/>
    <w:pPr>
      <w:spacing w:line="216" w:lineRule="auto"/>
      <w:ind w:firstLine="615"/>
    </w:pPr>
    <w:rPr>
      <w:sz w:val="24"/>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styleId="68">
    <w:name w:val="List Paragraph"/>
    <w:basedOn w:val="1"/>
    <w:autoRedefine/>
    <w:qFormat/>
    <w:uiPriority w:val="34"/>
    <w:pPr>
      <w:ind w:firstLine="420" w:firstLineChars="200"/>
    </w:pPr>
  </w:style>
  <w:style w:type="paragraph" w:customStyle="1" w:styleId="69">
    <w:name w:val="p0"/>
    <w:basedOn w:val="1"/>
    <w:autoRedefine/>
    <w:qFormat/>
    <w:uiPriority w:val="0"/>
    <w:pPr>
      <w:widowControl/>
      <w:autoSpaceDE w:val="0"/>
      <w:autoSpaceDN w:val="0"/>
    </w:pPr>
    <w:rPr>
      <w:rFonts w:ascii="Calibri" w:hAnsi="Calibri" w:eastAsia="宋体" w:cs="Times New Roman"/>
      <w:kern w:val="0"/>
      <w:szCs w:val="20"/>
    </w:rPr>
  </w:style>
  <w:style w:type="paragraph" w:customStyle="1" w:styleId="70">
    <w:name w:val="无间隔1"/>
    <w:autoRedefine/>
    <w:qFormat/>
    <w:uiPriority w:val="99"/>
    <w:pPr>
      <w:widowControl w:val="0"/>
      <w:jc w:val="both"/>
    </w:pPr>
    <w:rPr>
      <w:rFonts w:ascii="Times New Roman" w:hAnsi="Times New Roman" w:eastAsia="宋体" w:cs="宋体"/>
      <w:kern w:val="2"/>
      <w:sz w:val="21"/>
      <w:szCs w:val="24"/>
      <w:lang w:val="en-US" w:eastAsia="zh-CN" w:bidi="ar-SA"/>
    </w:rPr>
  </w:style>
  <w:style w:type="table" w:customStyle="1" w:styleId="71">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72">
    <w:name w:val="默认"/>
    <w:autoRedefine/>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44</Pages>
  <Words>19454</Words>
  <Characters>20578</Characters>
  <Lines>133</Lines>
  <Paragraphs>37</Paragraphs>
  <TotalTime>23</TotalTime>
  <ScaleCrop>false</ScaleCrop>
  <LinksUpToDate>false</LinksUpToDate>
  <CharactersWithSpaces>22014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2022-08-09T02:02:00Z</dcterms:created>
  <dc:creator>鄱阳湖打鱼少年</dc:creator>
  <cp:lastModifiedBy>Double life</cp:lastModifiedBy>
  <cp:lastPrinted>2024-05-07T01:49:00Z</cp:lastPrinted>
  <dcterms:modified xsi:type="dcterms:W3CDTF">2024-05-07T09:24:29Z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6A9B0C4A83C846D3A979C29254C18825_13</vt:lpwstr>
  </property>
</Properties>
</file>